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CFAF7"/>
  <w:body>
    <w:p>
      <w:pPr>
        <w:spacing w:after="80"/>
      </w:pPr>
      <w:r>
        <w:rPr>
          <w:rFonts w:ascii="Arial" w:cs="Arial" w:eastAsia="Arial" w:hAnsi="Arial"/>
          <w:b/>
          <w:bCs/>
          <w:color w:val="17150F"/>
          <w:sz w:val="52"/>
          <w:szCs w:val="52"/>
        </w:rPr>
        <w:t xml:space="preserve">Statement of Work</w:t>
      </w:r>
    </w:p>
    <w:p>
      <w:pPr>
        <w:spacing w:after="320"/>
      </w:pPr>
      <w:r>
        <w:rPr>
          <w:rFonts w:ascii="Arial" w:cs="Arial" w:eastAsia="Arial" w:hAnsi="Arial"/>
          <w:color w:val="4C483C"/>
          <w:sz w:val="22"/>
          <w:szCs w:val="22"/>
        </w:rPr>
        <w:t xml:space="preserve">Medium SoW (M). 11 sections, 43 elements. The SoW Standard v1.1, statementofwork.org. Licensed under Apache 2.0. With guidance notes.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SoW REFERENCE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TYPE OF WORK</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ENGAGEMENT TYPE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CONTRACT FOUNDATION</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[SoW-YYYY-###]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[WORK_TYPE]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[T&amp;M / FIXED PRICE / OUTCOME-BASED / MANAGED SERVICES]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[MSA / PO / STANDALONE]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SUPPLIER</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BUYER</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[SUPPLIER_NAME]</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EFFECTIVE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START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END DATE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VALUE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r>
              <w:rPr>
                <w:rFonts w:ascii="Arial" w:cs="Arial" w:eastAsia="Arial" w:hAnsi="Arial"/>
                <w:color w:val="17150F"/>
                <w:sz w:val="18"/>
                <w:szCs w:val="18"/>
              </w:rPr>
              <w:t xml:space="preserve"> </w:t>
            </w:r>
            <w:r>
              <w:rPr>
                <w:rFonts w:ascii="Arial" w:cs="Arial" w:eastAsia="Arial" w:hAnsi="Arial"/>
                <w:color w:val="17150F"/>
                <w:sz w:val="18"/>
                <w:szCs w:val="18"/>
                <w:shd w:fill="FBF1D4" w:val="clear"/>
              </w:rPr>
              <w:t xml:space="preserve">[CCY]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900"/>
        <w:gridCol w:w="6846"/>
      </w:tblGrid>
      <w:tr>
        <w:trPr>
          <w:cantSplit/>
          <w:tblHeader/>
        </w:trPr>
        <w:tc>
          <w:tcPr>
            <w:tcW w:type="dxa" w:w="2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MSA / PO REFERENCE</w:t>
            </w:r>
          </w:p>
        </w:tc>
        <w:tc>
          <w:tcPr>
            <w:tcW w:type="dxa" w:w="68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SUMMARY</w:t>
            </w:r>
          </w:p>
        </w:tc>
      </w:tr>
      <w:tr>
        <w:trPr>
          <w:cantSplit/>
        </w:trPr>
        <w:tc>
          <w:tcPr>
            <w:tcW w:type="dxa" w:w="2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[REF or N/A]</w:t>
            </w:r>
          </w:p>
        </w:tc>
        <w:tc>
          <w:tcPr>
            <w:tcW w:type="dxa" w:w="68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[BRIEF_SCOPE_DESCRIPTION]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 excluding tax</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tax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VERSION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AUTHOR</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STATUS</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[1.0]</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[AUTHOR_NAME]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[DRAFT / FINAL / EXECUTED]</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AI ASSISTANCE IN DRAFTING</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REVIEWED BY</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[YES / NO]</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[REVIEWER_NAME]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Cover. Complete every field before circulating for review. The Engagement Type drives which Advanced elements this SoW needs: Time and Materials expects the Resource Rate Table (4.4), Maximum Days (10.2), and a periodic Payment Schedule (11.6); Fixed Price expects a milestone Payment Schedule (11.6) with every payment triggered by acceptance; Outcome-Based expects Penalties (4.5) and Incentives (4.6); Managed Services expects service credits under Penalties (4.5). The Contract Foundation field determines which legal provisions are inherited. The AI row records how this document was produced, matching the disclosure this SoW requires of the Supplier in 8.2.</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Guidance boxes. Boxes like this one explain what each element is for and what good looks like. They are not contract text. Delete every guidance box before issuing the document.</w:t>
            </w:r>
          </w:p>
        </w:tc>
      </w:tr>
    </w:tbl>
    <w:p>
      <w:pPr>
        <w:spacing w:after="140"/>
      </w:pPr>
    </w:p>
    <w:p>
      <w:pPr>
        <w:pStyle w:val="Heading3"/>
        <w:keepNext/>
        <w:spacing w:after="120" w:before="280"/>
      </w:pPr>
      <w:r>
        <w:rPr>
          <w:rFonts w:ascii="Arial" w:cs="Arial" w:eastAsia="Arial" w:hAnsi="Arial"/>
          <w:b/>
          <w:bCs/>
          <w:color w:val="17150F"/>
          <w:sz w:val="24"/>
          <w:szCs w:val="24"/>
        </w:rPr>
        <w:t xml:space="preserve">Contents</w:t>
      </w:r>
    </w:p>
    <w:p>
      <w:pPr>
        <w:spacing w:after="60"/>
      </w:pPr>
      <w:r>
        <w:rPr>
          <w:rFonts w:ascii="Arial" w:cs="Arial" w:eastAsia="Arial" w:hAnsi="Arial"/>
          <w:color w:val="17150F"/>
          <w:sz w:val="22"/>
          <w:szCs w:val="22"/>
        </w:rPr>
        <w:t xml:space="preserve">01 Identifier</w:t>
      </w:r>
    </w:p>
    <w:p>
      <w:pPr>
        <w:spacing w:after="60"/>
      </w:pPr>
      <w:r>
        <w:rPr>
          <w:rFonts w:ascii="Arial" w:cs="Arial" w:eastAsia="Arial" w:hAnsi="Arial"/>
          <w:color w:val="17150F"/>
          <w:sz w:val="22"/>
          <w:szCs w:val="22"/>
        </w:rPr>
        <w:t xml:space="preserve">02 Parties</w:t>
      </w:r>
    </w:p>
    <w:p>
      <w:pPr>
        <w:spacing w:after="60"/>
      </w:pPr>
      <w:r>
        <w:rPr>
          <w:rFonts w:ascii="Arial" w:cs="Arial" w:eastAsia="Arial" w:hAnsi="Arial"/>
          <w:color w:val="17150F"/>
          <w:sz w:val="22"/>
          <w:szCs w:val="22"/>
        </w:rPr>
        <w:t xml:space="preserve">03 Time</w:t>
      </w:r>
    </w:p>
    <w:p>
      <w:pPr>
        <w:spacing w:after="60"/>
      </w:pPr>
      <w:r>
        <w:rPr>
          <w:rFonts w:ascii="Arial" w:cs="Arial" w:eastAsia="Arial" w:hAnsi="Arial"/>
          <w:color w:val="17150F"/>
          <w:sz w:val="22"/>
          <w:szCs w:val="22"/>
        </w:rPr>
        <w:t xml:space="preserve">04 Pricing</w:t>
      </w:r>
    </w:p>
    <w:p>
      <w:pPr>
        <w:spacing w:after="60"/>
      </w:pPr>
      <w:r>
        <w:rPr>
          <w:rFonts w:ascii="Arial" w:cs="Arial" w:eastAsia="Arial" w:hAnsi="Arial"/>
          <w:color w:val="17150F"/>
          <w:sz w:val="22"/>
          <w:szCs w:val="22"/>
        </w:rPr>
        <w:t xml:space="preserve">05 Scope</w:t>
      </w:r>
    </w:p>
    <w:p>
      <w:pPr>
        <w:spacing w:after="60"/>
      </w:pPr>
      <w:r>
        <w:rPr>
          <w:rFonts w:ascii="Arial" w:cs="Arial" w:eastAsia="Arial" w:hAnsi="Arial"/>
          <w:color w:val="17150F"/>
          <w:sz w:val="22"/>
          <w:szCs w:val="22"/>
        </w:rPr>
        <w:t xml:space="preserve">06 People</w:t>
      </w:r>
    </w:p>
    <w:p>
      <w:pPr>
        <w:spacing w:after="60"/>
      </w:pPr>
      <w:r>
        <w:rPr>
          <w:rFonts w:ascii="Arial" w:cs="Arial" w:eastAsia="Arial" w:hAnsi="Arial"/>
          <w:color w:val="17150F"/>
          <w:sz w:val="22"/>
          <w:szCs w:val="22"/>
        </w:rPr>
        <w:t xml:space="preserve">07 Performance</w:t>
      </w:r>
    </w:p>
    <w:p>
      <w:pPr>
        <w:spacing w:after="60"/>
      </w:pPr>
      <w:r>
        <w:rPr>
          <w:rFonts w:ascii="Arial" w:cs="Arial" w:eastAsia="Arial" w:hAnsi="Arial"/>
          <w:color w:val="17150F"/>
          <w:sz w:val="22"/>
          <w:szCs w:val="22"/>
        </w:rPr>
        <w:t xml:space="preserve">08 Regulation</w:t>
      </w:r>
    </w:p>
    <w:p>
      <w:pPr>
        <w:spacing w:after="60"/>
      </w:pPr>
      <w:r>
        <w:rPr>
          <w:rFonts w:ascii="Arial" w:cs="Arial" w:eastAsia="Arial" w:hAnsi="Arial"/>
          <w:color w:val="17150F"/>
          <w:sz w:val="22"/>
          <w:szCs w:val="22"/>
        </w:rPr>
        <w:t xml:space="preserve">09 Legal</w:t>
      </w:r>
    </w:p>
    <w:p>
      <w:pPr>
        <w:spacing w:after="60"/>
      </w:pPr>
      <w:r>
        <w:rPr>
          <w:rFonts w:ascii="Arial" w:cs="Arial" w:eastAsia="Arial" w:hAnsi="Arial"/>
          <w:color w:val="17150F"/>
          <w:sz w:val="22"/>
          <w:szCs w:val="22"/>
        </w:rPr>
        <w:t xml:space="preserve">10 Commercial</w:t>
      </w:r>
    </w:p>
    <w:p>
      <w:pPr>
        <w:spacing w:after="60"/>
      </w:pPr>
      <w:r>
        <w:rPr>
          <w:rFonts w:ascii="Arial" w:cs="Arial" w:eastAsia="Arial" w:hAnsi="Arial"/>
          <w:color w:val="17150F"/>
          <w:sz w:val="22"/>
          <w:szCs w:val="22"/>
        </w:rPr>
        <w:t xml:space="preserve">11 Administration</w:t>
      </w:r>
    </w:p>
    <w:p>
      <w:pPr>
        <w:spacing w:after="60"/>
      </w:pPr>
      <w:r>
        <w:rPr>
          <w:rFonts w:ascii="Arial" w:cs="Arial" w:eastAsia="Arial" w:hAnsi="Arial"/>
          <w:color w:val="17150F"/>
          <w:sz w:val="22"/>
          <w:szCs w:val="22"/>
        </w:rPr>
        <w:t xml:space="preserve">Execution</w:t>
      </w:r>
    </w:p>
    <w:p>
      <w:pPr>
        <w:keepNext/>
        <w:pageBreakBefore/>
        <w:pBdr>
          <w:bottom w:val="single" w:color="17150F" w:sz="12" w:space="6"/>
        </w:pBdr>
        <w:spacing w:after="200" w:before="0"/>
      </w:pPr>
      <w:r>
        <w:rPr>
          <w:rFonts w:ascii="Arial" w:cs="Arial" w:eastAsia="Arial" w:hAnsi="Arial"/>
          <w:b/>
          <w:bCs/>
          <w:color w:val="4C483C"/>
          <w:sz w:val="30"/>
          <w:szCs w:val="30"/>
        </w:rPr>
        <w:t xml:space="preserve">01 </w:t>
      </w:r>
      <w:r>
        <w:rPr>
          <w:rFonts w:ascii="Arial" w:cs="Arial" w:eastAsia="Arial" w:hAnsi="Arial"/>
          <w:b/>
          <w:bCs/>
          <w:color w:val="17150F"/>
          <w:sz w:val="30"/>
          <w:szCs w:val="30"/>
        </w:rPr>
        <w:t xml:space="preserve">IDENTIFIER</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Identifier. Every SoW must be uniquely identifiable and classifiable. The reference enables portfolio tracking, change management, and audit trails. The Type of Work classification enables spend analysis across your supplier portfolio.</w:t>
            </w:r>
          </w:p>
        </w:tc>
      </w:tr>
    </w:tbl>
    <w:p>
      <w:pPr>
        <w:spacing w:after="140"/>
      </w:pPr>
    </w:p>
    <w:p>
      <w:pPr>
        <w:pStyle w:val="Heading3"/>
        <w:keepNext/>
        <w:spacing w:after="120" w:before="280"/>
      </w:pPr>
      <w:r>
        <w:rPr>
          <w:rFonts w:ascii="Arial" w:cs="Arial" w:eastAsia="Arial" w:hAnsi="Arial"/>
          <w:b/>
          <w:bCs/>
          <w:color w:val="17150F"/>
          <w:sz w:val="24"/>
          <w:szCs w:val="24"/>
        </w:rPr>
        <w:t xml:space="preserve">1.1 SoW Reference</w:t>
      </w:r>
    </w:p>
    <w:p>
      <w:pPr>
        <w:spacing w:after="160" w:line="320"/>
      </w:pPr>
      <w:r>
        <w:rPr>
          <w:rFonts w:ascii="Arial" w:cs="Arial" w:eastAsia="Arial" w:hAnsi="Arial"/>
          <w:b/>
          <w:bCs/>
          <w:color w:val="17150F"/>
          <w:sz w:val="22"/>
          <w:szCs w:val="22"/>
        </w:rPr>
        <w:t xml:space="preserve">SoW Reference Number: </w:t>
      </w:r>
      <w:r>
        <w:rPr>
          <w:rFonts w:ascii="Arial" w:cs="Arial" w:eastAsia="Arial" w:hAnsi="Arial"/>
          <w:color w:val="17150F"/>
          <w:sz w:val="22"/>
          <w:szCs w:val="22"/>
          <w:shd w:fill="FBF1D4" w:val="clear"/>
        </w:rPr>
        <w:t xml:space="preserve">[SoW-YYYY-###]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SoW Reference. Use your organisation's standard numbering convention and keep it unique across your whole SoW portfolio. Quote this reference on all correspondence, invoices, and change requests relating to this engagement.</w:t>
            </w:r>
          </w:p>
        </w:tc>
      </w:tr>
    </w:tbl>
    <w:p>
      <w:pPr>
        <w:spacing w:after="140"/>
      </w:pPr>
    </w:p>
    <w:p>
      <w:pPr>
        <w:pStyle w:val="Heading3"/>
        <w:keepNext/>
        <w:spacing w:after="120" w:before="280"/>
      </w:pPr>
      <w:r>
        <w:rPr>
          <w:rFonts w:ascii="Arial" w:cs="Arial" w:eastAsia="Arial" w:hAnsi="Arial"/>
          <w:b/>
          <w:bCs/>
          <w:color w:val="17150F"/>
          <w:sz w:val="24"/>
          <w:szCs w:val="24"/>
        </w:rPr>
        <w:t xml:space="preserve">1.2 Type of Work</w:t>
      </w:r>
    </w:p>
    <w:p>
      <w:pPr>
        <w:spacing w:after="160" w:line="320"/>
      </w:pPr>
      <w:r>
        <w:rPr>
          <w:rFonts w:ascii="Arial" w:cs="Arial" w:eastAsia="Arial" w:hAnsi="Arial"/>
          <w:b/>
          <w:bCs/>
          <w:color w:val="17150F"/>
          <w:sz w:val="22"/>
          <w:szCs w:val="22"/>
        </w:rPr>
        <w:t xml:space="preserve">Work Classification: </w:t>
      </w:r>
      <w:r>
        <w:rPr>
          <w:rFonts w:ascii="Arial" w:cs="Arial" w:eastAsia="Arial" w:hAnsi="Arial"/>
          <w:color w:val="17150F"/>
          <w:sz w:val="22"/>
          <w:szCs w:val="22"/>
          <w:shd w:fill="FBF1D4" w:val="clear"/>
        </w:rPr>
        <w:t xml:space="preserve">[SELECT: Advisory / Consulting / Professional Services / Technology and IT Services / Benchmarking / Audit and Assurance / Training and Development / Research and Analysis / Design and Creative / Change Management]</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Type of Work. Consistent classification enables portfolio analysis. Pick from the standard's work types or your organisation's taxonomy. Free-text descriptions prevent aggregation and comparison across engagements.</w:t>
            </w:r>
          </w:p>
        </w:tc>
      </w:tr>
    </w:tbl>
    <w:p>
      <w:pPr>
        <w:spacing w:after="140"/>
      </w:pPr>
    </w:p>
    <w:p>
      <w:pPr>
        <w:keepNext/>
        <w:pageBreakBefore/>
        <w:pBdr>
          <w:bottom w:val="single" w:color="17150F" w:sz="12" w:space="6"/>
        </w:pBdr>
        <w:spacing w:after="200" w:before="0"/>
      </w:pPr>
      <w:r>
        <w:rPr>
          <w:rFonts w:ascii="Arial" w:cs="Arial" w:eastAsia="Arial" w:hAnsi="Arial"/>
          <w:b/>
          <w:bCs/>
          <w:color w:val="4C483C"/>
          <w:sz w:val="30"/>
          <w:szCs w:val="30"/>
        </w:rPr>
        <w:t xml:space="preserve">02 </w:t>
      </w:r>
      <w:r>
        <w:rPr>
          <w:rFonts w:ascii="Arial" w:cs="Arial" w:eastAsia="Arial" w:hAnsi="Arial"/>
          <w:b/>
          <w:bCs/>
          <w:color w:val="17150F"/>
          <w:sz w:val="30"/>
          <w:szCs w:val="30"/>
        </w:rPr>
        <w:t xml:space="preserve">PARTIES</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Parties. Precision in party identification prevents the surprisingly common problem of contracting with the wrong legal entity. Always use the exact registered legal name and company registration number. The D-U-N-S number and LEI are optional identifiers that let credit checking and risk tools verify the entity automatically.</w:t>
            </w:r>
          </w:p>
        </w:tc>
      </w:tr>
    </w:tbl>
    <w:p>
      <w:pPr>
        <w:spacing w:after="140"/>
      </w:pPr>
    </w:p>
    <w:p>
      <w:pPr>
        <w:pStyle w:val="Heading3"/>
        <w:keepNext/>
        <w:spacing w:after="120" w:before="280"/>
      </w:pPr>
      <w:r>
        <w:rPr>
          <w:rFonts w:ascii="Arial" w:cs="Arial" w:eastAsia="Arial" w:hAnsi="Arial"/>
          <w:b/>
          <w:bCs/>
          <w:color w:val="17150F"/>
          <w:sz w:val="24"/>
          <w:szCs w:val="24"/>
        </w:rPr>
        <w:t xml:space="preserve">2.1 Supplier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2.2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2.3 Subcontracting</w:t>
      </w:r>
    </w:p>
    <w:p>
      <w:pPr>
        <w:spacing w:after="160" w:line="320"/>
      </w:pPr>
      <w:r>
        <w:rPr>
          <w:rFonts w:ascii="Arial" w:cs="Arial" w:eastAsia="Arial" w:hAnsi="Arial"/>
          <w:color w:val="17150F"/>
          <w:sz w:val="22"/>
          <w:szCs w:val="22"/>
        </w:rPr>
        <w:t xml:space="preserve">2.3.1 The Supplier </w:t>
      </w:r>
      <w:r>
        <w:rPr>
          <w:rFonts w:ascii="Arial" w:cs="Arial" w:eastAsia="Arial" w:hAnsi="Arial"/>
          <w:color w:val="17150F"/>
          <w:sz w:val="22"/>
          <w:szCs w:val="22"/>
          <w:shd w:fill="FBF1D4" w:val="clear"/>
        </w:rPr>
        <w:t xml:space="preserve">[MUST NOT / MAY, SUBJECT TO PRIOR WRITTEN APPROVAL]</w:t>
      </w:r>
      <w:r>
        <w:rPr>
          <w:rFonts w:ascii="Arial" w:cs="Arial" w:eastAsia="Arial" w:hAnsi="Arial"/>
          <w:color w:val="17150F"/>
          <w:sz w:val="22"/>
          <w:szCs w:val="22"/>
        </w:rPr>
        <w:t xml:space="preserve"> subcontract any part of the Services under this SoW.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Subcontracting Controls. Without clear subcontracting clauses, suppliers can engage unknown third parties, creating uncontrolled supply chain and security risks. If subcontracting is permitted, require prior written approval and name approved subcontractors below.</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4146"/>
      </w:tblGrid>
      <w:tr>
        <w:trPr>
          <w:cantSplit/>
          <w:tblHeader/>
        </w:trPr>
        <w:tc>
          <w:tcPr>
            <w:tcW w:type="dxa" w:w="3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Approved Subcontractor</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Company Number</w:t>
            </w:r>
          </w:p>
        </w:tc>
        <w:tc>
          <w:tcPr>
            <w:tcW w:type="dxa" w:w="4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of Subcontracted 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[SUBCONTRACTOR_1_NAME]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[SUBCONTRACTOR_2_NAME]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03 </w:t>
      </w:r>
      <w:r>
        <w:rPr>
          <w:rFonts w:ascii="Arial" w:cs="Arial" w:eastAsia="Arial" w:hAnsi="Arial"/>
          <w:b/>
          <w:bCs/>
          <w:color w:val="17150F"/>
          <w:sz w:val="30"/>
          <w:szCs w:val="30"/>
        </w:rPr>
        <w:t xml:space="preserve">TIME</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Time. Effective Date, Start Date, and End Date answer three different questions: when the contract begins, when work starts, and when it must complete. Each duration parameter in this SoW is stated exactly once and referenced elsewhere, so two clauses can never carry two different values for the same period.</w:t>
            </w:r>
          </w:p>
        </w:tc>
      </w:tr>
    </w:tbl>
    <w:p>
      <w:pPr>
        <w:spacing w:after="140"/>
      </w:pPr>
    </w:p>
    <w:p>
      <w:pPr>
        <w:pStyle w:val="Heading3"/>
        <w:keepNext/>
        <w:spacing w:after="120" w:before="280"/>
      </w:pPr>
      <w:r>
        <w:rPr>
          <w:rFonts w:ascii="Arial" w:cs="Arial" w:eastAsia="Arial" w:hAnsi="Arial"/>
          <w:b/>
          <w:bCs/>
          <w:color w:val="17150F"/>
          <w:sz w:val="24"/>
          <w:szCs w:val="24"/>
        </w:rPr>
        <w:t xml:space="preserve">3.1 Key Dates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946"/>
      </w:tblGrid>
      <w:tr>
        <w:trPr>
          <w:cantSplit/>
          <w:tblHeader/>
        </w:trPr>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Value</w:t>
            </w:r>
          </w:p>
        </w:tc>
        <w:tc>
          <w:tcPr>
            <w:tcW w:type="dxa" w:w="49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Notes</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Effective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this SoW becomes a binding agreement</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Start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work commences under this SoW</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End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by which all Services must be completed</w:t>
            </w:r>
          </w:p>
        </w:tc>
      </w:tr>
    </w:tbl>
    <w:p>
      <w:pPr>
        <w:spacing w:after="100"/>
      </w:pPr>
    </w:p>
    <w:p>
      <w:pPr>
        <w:pStyle w:val="Heading3"/>
        <w:keepNext/>
        <w:spacing w:after="120" w:before="280"/>
      </w:pPr>
      <w:r>
        <w:rPr>
          <w:rFonts w:ascii="Arial" w:cs="Arial" w:eastAsia="Arial" w:hAnsi="Arial"/>
          <w:b/>
          <w:bCs/>
          <w:color w:val="17150F"/>
          <w:sz w:val="24"/>
          <w:szCs w:val="24"/>
        </w:rPr>
        <w:t xml:space="preserve">3.2 Termination</w:t>
      </w:r>
    </w:p>
    <w:p>
      <w:pPr>
        <w:spacing w:after="160" w:line="320"/>
      </w:pPr>
      <w:r>
        <w:rPr>
          <w:rFonts w:ascii="Arial" w:cs="Arial" w:eastAsia="Arial" w:hAnsi="Arial"/>
          <w:color w:val="17150F"/>
          <w:sz w:val="22"/>
          <w:szCs w:val="22"/>
        </w:rPr>
        <w:t xml:space="preserve">3.2.1 Either party may terminate this SoW:</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For convenience, by providing written notice to the other party of not less than the notice period specified in element 3.3.</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For cause, with immediate effect upon written notice, if the other party commits a material breach of this SoW and fails to remedy that breach within </w:t>
      </w:r>
      <w:r>
        <w:rPr>
          <w:rFonts w:ascii="Arial" w:cs="Arial" w:eastAsia="Arial" w:hAnsi="Arial"/>
          <w:color w:val="17150F"/>
          <w:sz w:val="22"/>
          <w:szCs w:val="22"/>
          <w:shd w:fill="FBF1D4" w:val="clear"/>
        </w:rPr>
        <w:t xml:space="preserve">[15 / 30]</w:t>
      </w:r>
      <w:r>
        <w:rPr>
          <w:rFonts w:ascii="Arial" w:cs="Arial" w:eastAsia="Arial" w:hAnsi="Arial"/>
          <w:color w:val="17150F"/>
          <w:sz w:val="22"/>
          <w:szCs w:val="22"/>
        </w:rPr>
        <w:t xml:space="preserve"> calendar days of receiving written notice specifying the breach.</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With immediate effect if the other party becomes insolvent, enters administration, or ceases to carry on business.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Termination. Without termination provisions, the Buyer is locked into paying full contract value regardless of performance or changing business needs. Termination for convenience gives flexibility; termination for cause gives protection. Set the notice period once, in 3.3.</w:t>
            </w:r>
          </w:p>
        </w:tc>
      </w:tr>
    </w:tbl>
    <w:p>
      <w:pPr>
        <w:spacing w:after="140"/>
      </w:pPr>
    </w:p>
    <w:p>
      <w:pPr>
        <w:pStyle w:val="Heading3"/>
        <w:keepNext/>
        <w:spacing w:after="120" w:before="280"/>
      </w:pPr>
      <w:r>
        <w:rPr>
          <w:rFonts w:ascii="Arial" w:cs="Arial" w:eastAsia="Arial" w:hAnsi="Arial"/>
          <w:b/>
          <w:bCs/>
          <w:color w:val="17150F"/>
          <w:sz w:val="24"/>
          <w:szCs w:val="24"/>
        </w:rPr>
        <w:t xml:space="preserve">3.3 Termination Notice Period</w:t>
      </w:r>
    </w:p>
    <w:p>
      <w:pPr>
        <w:spacing w:after="160" w:line="320"/>
      </w:pPr>
      <w:r>
        <w:rPr>
          <w:rFonts w:ascii="Arial" w:cs="Arial" w:eastAsia="Arial" w:hAnsi="Arial"/>
          <w:b/>
          <w:bCs/>
          <w:color w:val="17150F"/>
          <w:sz w:val="22"/>
          <w:szCs w:val="22"/>
        </w:rPr>
        <w:t xml:space="preserve">Notice Period for Termination for Convenience: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w:t>
      </w:r>
    </w:p>
    <w:p>
      <w:pPr>
        <w:pStyle w:val="Heading3"/>
        <w:keepNext/>
        <w:spacing w:after="120" w:before="280"/>
      </w:pPr>
      <w:r>
        <w:rPr>
          <w:rFonts w:ascii="Arial" w:cs="Arial" w:eastAsia="Arial" w:hAnsi="Arial"/>
          <w:b/>
          <w:bCs/>
          <w:color w:val="17150F"/>
          <w:sz w:val="24"/>
          <w:szCs w:val="24"/>
        </w:rPr>
        <w:t xml:space="preserve">3.4 Effects of Termination</w:t>
      </w:r>
    </w:p>
    <w:p>
      <w:pPr>
        <w:spacing w:after="160" w:line="320"/>
      </w:pPr>
      <w:r>
        <w:rPr>
          <w:rFonts w:ascii="Arial" w:cs="Arial" w:eastAsia="Arial" w:hAnsi="Arial"/>
          <w:color w:val="17150F"/>
          <w:sz w:val="22"/>
          <w:szCs w:val="22"/>
        </w:rPr>
        <w:t xml:space="preserve">3.4.1 Upon termination or expiry of this SoW, the Supplier must: (a) cease all work under this SoW; (b) deliver to the Buyer all completed and partially completed Deliverables; (c) return or destroy all Confidential Information; and (d) provide a final invoice for Services performed up to the date of termination.</w:t>
      </w:r>
    </w:p>
    <w:p>
      <w:pPr>
        <w:keepNext/>
        <w:pageBreakBefore/>
        <w:pBdr>
          <w:bottom w:val="single" w:color="17150F" w:sz="12" w:space="6"/>
        </w:pBdr>
        <w:spacing w:after="200" w:before="0"/>
      </w:pPr>
      <w:r>
        <w:rPr>
          <w:rFonts w:ascii="Arial" w:cs="Arial" w:eastAsia="Arial" w:hAnsi="Arial"/>
          <w:b/>
          <w:bCs/>
          <w:color w:val="4C483C"/>
          <w:sz w:val="30"/>
          <w:szCs w:val="30"/>
        </w:rPr>
        <w:t xml:space="preserve">04 </w:t>
      </w:r>
      <w:r>
        <w:rPr>
          <w:rFonts w:ascii="Arial" w:cs="Arial" w:eastAsia="Arial" w:hAnsi="Arial"/>
          <w:b/>
          <w:bCs/>
          <w:color w:val="17150F"/>
          <w:sz w:val="30"/>
          <w:szCs w:val="30"/>
        </w:rPr>
        <w:t xml:space="preserve">PRICING</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Pricing. Use structured tables, not narrative descriptions, so costs are transparent, auditable, and comparable across engagements. The pricing table lines must sum to the Pricing Summary, and every later payment must trace back to a pricing table reference.</w:t>
            </w:r>
          </w:p>
        </w:tc>
      </w:tr>
    </w:tbl>
    <w:p>
      <w:pPr>
        <w:spacing w:after="140"/>
      </w:pPr>
    </w:p>
    <w:p>
      <w:pPr>
        <w:pStyle w:val="Heading3"/>
        <w:keepNext/>
        <w:spacing w:after="120" w:before="280"/>
      </w:pPr>
      <w:r>
        <w:rPr>
          <w:rFonts w:ascii="Arial" w:cs="Arial" w:eastAsia="Arial" w:hAnsi="Arial"/>
          <w:b/>
          <w:bCs/>
          <w:color w:val="17150F"/>
          <w:sz w:val="24"/>
          <w:szCs w:val="24"/>
        </w:rPr>
        <w:t xml:space="preserve">4.1 Currency</w:t>
      </w:r>
    </w:p>
    <w:p>
      <w:pPr>
        <w:spacing w:after="160" w:line="320"/>
      </w:pPr>
      <w:r>
        <w:rPr>
          <w:rFonts w:ascii="Arial" w:cs="Arial" w:eastAsia="Arial" w:hAnsi="Arial"/>
          <w:b/>
          <w:bCs/>
          <w:color w:val="17150F"/>
          <w:sz w:val="22"/>
          <w:szCs w:val="22"/>
        </w:rPr>
        <w:t xml:space="preserve">Contract Currency: </w:t>
      </w:r>
      <w:r>
        <w:rPr>
          <w:rFonts w:ascii="Arial" w:cs="Arial" w:eastAsia="Arial" w:hAnsi="Arial"/>
          <w:color w:val="17150F"/>
          <w:sz w:val="22"/>
          <w:szCs w:val="22"/>
          <w:shd w:fill="FBF1D4" w:val="clear"/>
        </w:rPr>
        <w:t xml:space="preserve">[ALL AMOUNTS IN [GBP / USD / EUR]]</w:t>
      </w:r>
    </w:p>
    <w:p>
      <w:pPr>
        <w:pStyle w:val="Heading3"/>
        <w:keepNext/>
        <w:spacing w:after="120" w:before="280"/>
      </w:pPr>
      <w:r>
        <w:rPr>
          <w:rFonts w:ascii="Arial" w:cs="Arial" w:eastAsia="Arial" w:hAnsi="Arial"/>
          <w:b/>
          <w:bCs/>
          <w:color w:val="17150F"/>
          <w:sz w:val="24"/>
          <w:szCs w:val="24"/>
        </w:rPr>
        <w:t xml:space="preserve">4.2 Pricing Summary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000"/>
        <w:gridCol w:w="4346"/>
        <w:gridCol w:w="2400"/>
      </w:tblGrid>
      <w:tr>
        <w:trPr>
          <w:cantSplit/>
          <w:tblHeader/>
        </w:trPr>
        <w:tc>
          <w:tcPr>
            <w:tcW w:type="dxa" w:w="3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Item</w:t>
            </w:r>
          </w:p>
        </w:tc>
        <w:tc>
          <w:tcPr>
            <w:tcW w:type="dxa" w:w="4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Total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Discount Applied</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[DISCOUNT_AMOUNT]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Net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 LESS 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[NET_AMOUNT]</w:t>
            </w:r>
          </w:p>
        </w:tc>
      </w:tr>
    </w:tbl>
    <w:p>
      <w:pPr>
        <w:spacing w:after="100"/>
      </w:pPr>
    </w:p>
    <w:p>
      <w:pPr>
        <w:pStyle w:val="Heading3"/>
        <w:keepNext/>
        <w:spacing w:after="120" w:before="280"/>
      </w:pPr>
      <w:r>
        <w:rPr>
          <w:rFonts w:ascii="Arial" w:cs="Arial" w:eastAsia="Arial" w:hAnsi="Arial"/>
          <w:b/>
          <w:bCs/>
          <w:color w:val="17150F"/>
          <w:sz w:val="24"/>
          <w:szCs w:val="24"/>
        </w:rPr>
        <w:t xml:space="preserve">4.3 Pricing Table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Pricing Table. Structured pricing enables cost comparison across suppliers and prevents commercial ambiguity. Include enough detail for the Buyer to verify value for money. For Time and Materials engagements, pair this with the Resource Rate Table (4.4) in the Full template.</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00"/>
        <w:gridCol w:w="2200"/>
        <w:gridCol w:w="1000"/>
        <w:gridCol w:w="1300"/>
        <w:gridCol w:w="13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 Service</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w:t>
            </w:r>
          </w:p>
        </w:tc>
        <w:tc>
          <w:tcPr>
            <w:tcW w:type="dxa" w:w="1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Qty</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 Rate</w:t>
            </w:r>
          </w:p>
        </w:tc>
        <w:tc>
          <w:tcPr>
            <w:tcW w:type="dxa" w:w="1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P-01</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P-02</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P-03</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05 </w:t>
      </w:r>
      <w:r>
        <w:rPr>
          <w:rFonts w:ascii="Arial" w:cs="Arial" w:eastAsia="Arial" w:hAnsi="Arial"/>
          <w:b/>
          <w:bCs/>
          <w:color w:val="17150F"/>
          <w:sz w:val="30"/>
          <w:szCs w:val="30"/>
        </w:rPr>
        <w:t xml:space="preserve">SCOPE</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Scope. Vague scope is the root cause of most SoW disputes, and the traceability chain is the spine of a sound SoW: every scope item produces a named deliverable, every deliverable has measurable acceptance criteria, and every payment is triggered by acceptance. A break anywhere in that chain is where disputes start.</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ABBAF" w:sz="24"/>
              <w:bottom w:val="none" w:color="FFFFFF" w:sz="0"/>
              <w:right w:val="none" w:color="FFFFFF" w:sz="0"/>
            </w:tcBorders>
            <w:shd w:fill="F7E9E6" w:val="clear"/>
            <w:tcMar>
              <w:top w:type="dxa" w:w="140"/>
              <w:left w:type="dxa" w:w="200"/>
              <w:bottom w:type="dxa" w:w="140"/>
              <w:right w:type="dxa" w:w="200"/>
            </w:tcMar>
          </w:tcPr>
          <w:p>
            <w:pPr>
              <w:spacing w:line="300"/>
            </w:pPr>
            <w:r>
              <w:rPr>
                <w:rFonts w:ascii="Arial" w:cs="Arial" w:eastAsia="Arial" w:hAnsi="Arial"/>
                <w:color w:val="17150F"/>
                <w:sz w:val="18"/>
                <w:szCs w:val="18"/>
              </w:rPr>
              <w:t xml:space="preserve">Do NOT include an Assumptions section. Assumptions create scope ambiguity and provide suppliers with excuses for non-delivery. Convert every assumption into a concrete requirement in Scope (5.1) or a buyer obligation in Customer Dependencies (5.7).</w:t>
            </w:r>
          </w:p>
        </w:tc>
      </w:tr>
    </w:tbl>
    <w:p>
      <w:pPr>
        <w:spacing w:after="140"/>
      </w:pPr>
    </w:p>
    <w:p>
      <w:pPr>
        <w:pStyle w:val="Heading3"/>
        <w:keepNext/>
        <w:spacing w:after="120" w:before="280"/>
      </w:pPr>
      <w:r>
        <w:rPr>
          <w:rFonts w:ascii="Arial" w:cs="Arial" w:eastAsia="Arial" w:hAnsi="Arial"/>
          <w:b/>
          <w:bCs/>
          <w:color w:val="17150F"/>
          <w:sz w:val="24"/>
          <w:szCs w:val="24"/>
        </w:rPr>
        <w:t xml:space="preserve">5.1 Scope of Work</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200"/>
        <w:gridCol w:w="57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Item</w:t>
            </w:r>
          </w:p>
        </w:tc>
        <w:tc>
          <w:tcPr>
            <w:tcW w:type="dxa" w:w="5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S-01</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[SCOPE_ITEM_1]</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S-02</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[SCOPE_ITEM_2]</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S-03</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[SCOPE_ITEM_3]</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S-04</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[SCOPE_ITEM_4]</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Scope of Work. Write scope items as outcomes, not activities. Each item should describe what will be produced and be traceable to a deliverable in 5.4.</w:t>
            </w:r>
          </w:p>
        </w:tc>
      </w:tr>
    </w:tbl>
    <w:p>
      <w:pPr>
        <w:spacing w:after="140"/>
      </w:pPr>
    </w:p>
    <w:p>
      <w:pPr>
        <w:pStyle w:val="Heading3"/>
        <w:keepNext/>
        <w:spacing w:after="120" w:before="280"/>
      </w:pPr>
      <w:r>
        <w:rPr>
          <w:rFonts w:ascii="Arial" w:cs="Arial" w:eastAsia="Arial" w:hAnsi="Arial"/>
          <w:b/>
          <w:bCs/>
          <w:color w:val="17150F"/>
          <w:sz w:val="24"/>
          <w:szCs w:val="24"/>
        </w:rPr>
        <w:t xml:space="preserve">5.2 Out of Scope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Out of Scope. Explicit exclusions prevent suppliers claiming additional work was implicitly included. Be specific: vague exclusions are as problematic as vague inclusions.</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4400"/>
        <w:gridCol w:w="45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4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Exclusion</w:t>
            </w:r>
          </w:p>
        </w:tc>
        <w:tc>
          <w:tcPr>
            <w:tcW w:type="dxa" w:w="45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Rationale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X-01</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[EXCLUDED_ITEM_1]</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X-02</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[EXCLUDED_ITEM_2]</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bl>
    <w:p>
      <w:pPr>
        <w:spacing w:after="100"/>
      </w:pPr>
    </w:p>
    <w:p>
      <w:pPr>
        <w:pStyle w:val="Heading3"/>
        <w:keepNext/>
        <w:spacing w:after="120" w:before="280"/>
      </w:pPr>
      <w:r>
        <w:rPr>
          <w:rFonts w:ascii="Arial" w:cs="Arial" w:eastAsia="Arial" w:hAnsi="Arial"/>
          <w:b/>
          <w:bCs/>
          <w:color w:val="17150F"/>
          <w:sz w:val="24"/>
          <w:szCs w:val="24"/>
        </w:rPr>
        <w:t xml:space="preserve">5.4 Deliverables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346"/>
        <w:gridCol w:w="1800"/>
        <w:gridCol w:w="1800"/>
        <w:gridCol w:w="20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Format</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Due Date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Scope Ref</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bl>
    <w:p>
      <w:pPr>
        <w:spacing w:after="100"/>
      </w:pPr>
    </w:p>
    <w:p>
      <w:pPr>
        <w:pStyle w:val="Heading3"/>
        <w:keepNext/>
        <w:spacing w:after="120" w:before="280"/>
      </w:pPr>
      <w:r>
        <w:rPr>
          <w:rFonts w:ascii="Arial" w:cs="Arial" w:eastAsia="Arial" w:hAnsi="Arial"/>
          <w:b/>
          <w:bCs/>
          <w:color w:val="17150F"/>
          <w:sz w:val="24"/>
          <w:szCs w:val="24"/>
        </w:rPr>
        <w:t xml:space="preserve">5.6 Acceptance Criteria</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Acceptance Criteria. Every deliverable needs measurable, testable criteria with a verification method and an acceptance period. Never use subjective language such as 'to the Buyer's satisfaction': define what satisfaction means in observable terms.</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3146"/>
        <w:gridCol w:w="2700"/>
        <w:gridCol w:w="2200"/>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Ref</w:t>
            </w:r>
          </w:p>
        </w:tc>
        <w:tc>
          <w:tcPr>
            <w:tcW w:type="dxa" w:w="3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Criterion</w:t>
            </w:r>
          </w:p>
        </w:tc>
        <w:tc>
          <w:tcPr>
            <w:tcW w:type="dxa" w:w="2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Method of Verification</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Period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bl>
    <w:p>
      <w:pPr>
        <w:spacing w:after="100"/>
      </w:pPr>
    </w:p>
    <w:p>
      <w:pPr>
        <w:pStyle w:val="Heading3"/>
        <w:keepNext/>
        <w:spacing w:after="120" w:before="280"/>
      </w:pPr>
      <w:r>
        <w:rPr>
          <w:rFonts w:ascii="Arial" w:cs="Arial" w:eastAsia="Arial" w:hAnsi="Arial"/>
          <w:b/>
          <w:bCs/>
          <w:color w:val="17150F"/>
          <w:sz w:val="24"/>
          <w:szCs w:val="24"/>
        </w:rPr>
        <w:t xml:space="preserve">5.7 Customer Dependencies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3046"/>
        <w:gridCol w:w="1800"/>
        <w:gridCol w:w="1600"/>
        <w:gridCol w:w="2400"/>
      </w:tblGrid>
      <w:tr>
        <w:trPr>
          <w:cantSplit/>
          <w:tblHeader/>
        </w:trPr>
        <w:tc>
          <w:tcPr>
            <w:tcW w:type="dxa" w:w="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Dependency</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Owner</w:t>
            </w:r>
          </w:p>
        </w:tc>
        <w:tc>
          <w:tcPr>
            <w:tcW w:type="dxa" w:w="1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Required By</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Impact if Delayed</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CD-01</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CD-02</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Customer Dependencies. Everything the Supplier needs from the Buyer, with an owner, a date, and the impact if it is late. This is where assumptions belong, converted into obligations.</w:t>
            </w:r>
          </w:p>
        </w:tc>
      </w:tr>
    </w:tbl>
    <w:p>
      <w:pPr>
        <w:spacing w:after="140"/>
      </w:pPr>
    </w:p>
    <w:p>
      <w:pPr>
        <w:keepNext/>
        <w:pageBreakBefore/>
        <w:pBdr>
          <w:bottom w:val="single" w:color="17150F" w:sz="12" w:space="6"/>
        </w:pBdr>
        <w:spacing w:after="200" w:before="0"/>
      </w:pPr>
      <w:r>
        <w:rPr>
          <w:rFonts w:ascii="Arial" w:cs="Arial" w:eastAsia="Arial" w:hAnsi="Arial"/>
          <w:b/>
          <w:bCs/>
          <w:color w:val="4C483C"/>
          <w:sz w:val="30"/>
          <w:szCs w:val="30"/>
        </w:rPr>
        <w:t xml:space="preserve">06 </w:t>
      </w:r>
      <w:r>
        <w:rPr>
          <w:rFonts w:ascii="Arial" w:cs="Arial" w:eastAsia="Arial" w:hAnsi="Arial"/>
          <w:b/>
          <w:bCs/>
          <w:color w:val="17150F"/>
          <w:sz w:val="30"/>
          <w:szCs w:val="30"/>
        </w:rPr>
        <w:t xml:space="preserve">PEOPLE</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People. Named key personnel and clear governance ensure the right people are involved and accountable. Without these provisions, suppliers can assign anyone, and oversight gaps emerge.</w:t>
            </w:r>
          </w:p>
        </w:tc>
      </w:tr>
    </w:tbl>
    <w:p>
      <w:pPr>
        <w:spacing w:after="140"/>
      </w:pPr>
    </w:p>
    <w:p>
      <w:pPr>
        <w:pStyle w:val="Heading3"/>
        <w:keepNext/>
        <w:spacing w:after="120" w:before="280"/>
      </w:pPr>
      <w:r>
        <w:rPr>
          <w:rFonts w:ascii="Arial" w:cs="Arial" w:eastAsia="Arial" w:hAnsi="Arial"/>
          <w:b/>
          <w:bCs/>
          <w:color w:val="17150F"/>
          <w:sz w:val="24"/>
          <w:szCs w:val="24"/>
        </w:rPr>
        <w:t xml:space="preserve">6.1 Key Personnel</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2000"/>
        <w:gridCol w:w="1800"/>
        <w:gridCol w:w="2246"/>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Organisation</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Availability</w:t>
            </w:r>
          </w:p>
        </w:tc>
        <w:tc>
          <w:tcPr>
            <w:tcW w:type="dxa" w:w="22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Replacement Clause</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bl>
    <w:p>
      <w:pPr>
        <w:spacing w:after="100"/>
      </w:pPr>
    </w:p>
    <w:p>
      <w:pPr>
        <w:spacing w:after="160" w:line="320"/>
      </w:pPr>
      <w:r>
        <w:rPr>
          <w:rFonts w:ascii="Arial" w:cs="Arial" w:eastAsia="Arial" w:hAnsi="Arial"/>
          <w:color w:val="17150F"/>
          <w:sz w:val="22"/>
          <w:szCs w:val="22"/>
        </w:rPr>
        <w:t xml:space="preserve">6.1.1 The Supplier must not replace any Key Personnel without the Buyer's prior written consent. Any proposed replacement must possess equivalent or superior qualifications and experience.</w:t>
      </w:r>
    </w:p>
    <w:p>
      <w:pPr>
        <w:pStyle w:val="Heading3"/>
        <w:keepNext/>
        <w:spacing w:after="120" w:before="280"/>
      </w:pPr>
      <w:r>
        <w:rPr>
          <w:rFonts w:ascii="Arial" w:cs="Arial" w:eastAsia="Arial" w:hAnsi="Arial"/>
          <w:b/>
          <w:bCs/>
          <w:color w:val="17150F"/>
          <w:sz w:val="24"/>
          <w:szCs w:val="24"/>
        </w:rPr>
        <w:t xml:space="preserve">6.2 Governance Structure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1500"/>
        <w:gridCol w:w="2746"/>
        <w:gridCol w:w="1500"/>
      </w:tblGrid>
      <w:tr>
        <w:trPr>
          <w:cantSplit/>
          <w:tblHeader/>
        </w:trPr>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Forum</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Attendees</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Frequency</w:t>
            </w:r>
          </w:p>
        </w:tc>
        <w:tc>
          <w:tcPr>
            <w:tcW w:type="dxa" w:w="2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Purpose</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Executive Committee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[Monthly]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[Strategic oversight and decisions]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Project Board</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[Fortnightly]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[Delivery progress and issues]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Working Group</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[Operational coordination]</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bl>
    <w:p>
      <w:pPr>
        <w:spacing w:after="100"/>
      </w:pPr>
    </w:p>
    <w:p>
      <w:pPr>
        <w:spacing w:after="160" w:line="320"/>
      </w:pPr>
      <w:r>
        <w:rPr>
          <w:rFonts w:ascii="Arial" w:cs="Arial" w:eastAsia="Arial" w:hAnsi="Arial"/>
          <w:color w:val="17150F"/>
          <w:sz w:val="22"/>
          <w:szCs w:val="22"/>
        </w:rPr>
        <w:t xml:space="preserve">6.2.1 Escalation Path: Working Group, then Project Board, then Executive Committee. Issues not resolved within </w:t>
      </w:r>
      <w:r>
        <w:rPr>
          <w:rFonts w:ascii="Arial" w:cs="Arial" w:eastAsia="Arial" w:hAnsi="Arial"/>
          <w:color w:val="17150F"/>
          <w:sz w:val="22"/>
          <w:szCs w:val="22"/>
          <w:shd w:fill="FBF1D4" w:val="clear"/>
        </w:rPr>
        <w:t xml:space="preserve">[5]</w:t>
      </w:r>
      <w:r>
        <w:rPr>
          <w:rFonts w:ascii="Arial" w:cs="Arial" w:eastAsia="Arial" w:hAnsi="Arial"/>
          <w:color w:val="17150F"/>
          <w:sz w:val="22"/>
          <w:szCs w:val="22"/>
        </w:rPr>
        <w:t xml:space="preserve"> business days at any level must be escalated to the next level.</w:t>
      </w:r>
    </w:p>
    <w:p>
      <w:pPr>
        <w:keepNext/>
        <w:pageBreakBefore/>
        <w:pBdr>
          <w:bottom w:val="single" w:color="17150F" w:sz="12" w:space="6"/>
        </w:pBdr>
        <w:spacing w:after="200" w:before="0"/>
      </w:pPr>
      <w:r>
        <w:rPr>
          <w:rFonts w:ascii="Arial" w:cs="Arial" w:eastAsia="Arial" w:hAnsi="Arial"/>
          <w:b/>
          <w:bCs/>
          <w:color w:val="4C483C"/>
          <w:sz w:val="30"/>
          <w:szCs w:val="30"/>
        </w:rPr>
        <w:t xml:space="preserve">07 </w:t>
      </w:r>
      <w:r>
        <w:rPr>
          <w:rFonts w:ascii="Arial" w:cs="Arial" w:eastAsia="Arial" w:hAnsi="Arial"/>
          <w:b/>
          <w:bCs/>
          <w:color w:val="17150F"/>
          <w:sz w:val="30"/>
          <w:szCs w:val="30"/>
        </w:rPr>
        <w:t xml:space="preserve">PERFORMANCE</w:t>
      </w:r>
    </w:p>
    <w:p>
      <w:pPr>
        <w:spacing w:after="0" w:before="160"/>
      </w:pPr>
    </w:p>
    <w:p>
      <w:pPr>
        <w:pStyle w:val="Heading3"/>
        <w:keepNext/>
        <w:spacing w:after="120" w:before="280"/>
      </w:pPr>
      <w:r>
        <w:rPr>
          <w:rFonts w:ascii="Arial" w:cs="Arial" w:eastAsia="Arial" w:hAnsi="Arial"/>
          <w:b/>
          <w:bCs/>
          <w:color w:val="17150F"/>
          <w:sz w:val="24"/>
          <w:szCs w:val="24"/>
        </w:rPr>
        <w:t xml:space="preserve">7.1 Debrief and Review</w:t>
      </w:r>
    </w:p>
    <w:p>
      <w:pPr>
        <w:spacing w:after="160" w:line="320"/>
      </w:pPr>
      <w:r>
        <w:rPr>
          <w:rFonts w:ascii="Arial" w:cs="Arial" w:eastAsia="Arial" w:hAnsi="Arial"/>
          <w:color w:val="17150F"/>
          <w:sz w:val="22"/>
          <w:szCs w:val="22"/>
        </w:rPr>
        <w:t xml:space="preserve">7.1.1 The Supplier must participate in review sessions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1900"/>
        <w:gridCol w:w="3046"/>
      </w:tblGrid>
      <w:tr>
        <w:trPr>
          <w:cantSplit/>
          <w:tblHeader/>
        </w:trPr>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 Type</w:t>
            </w:r>
          </w:p>
        </w:tc>
        <w:tc>
          <w:tcPr>
            <w:tcW w:type="dxa" w:w="2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Timing</w:t>
            </w:r>
          </w:p>
        </w:tc>
        <w:tc>
          <w:tcPr>
            <w:tcW w:type="dxa" w:w="1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Participants</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Outputs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Milestone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At completion of each Phase</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Written assessment report</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Deliverable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[5]</w:t>
            </w:r>
            <w:r>
              <w:rPr>
                <w:rFonts w:ascii="Arial" w:cs="Arial" w:eastAsia="Arial" w:hAnsi="Arial"/>
                <w:color w:val="17150F"/>
                <w:sz w:val="18"/>
                <w:szCs w:val="18"/>
              </w:rPr>
              <w:t xml:space="preserve"> days of submission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or rejection with reasons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Post-Completion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[20]</w:t>
            </w:r>
            <w:r>
              <w:rPr>
                <w:rFonts w:ascii="Arial" w:cs="Arial" w:eastAsia="Arial" w:hAnsi="Arial"/>
                <w:color w:val="17150F"/>
                <w:sz w:val="18"/>
                <w:szCs w:val="18"/>
              </w:rPr>
              <w:t xml:space="preserve"> days of SoW completion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Lessons learned and performance assessment</w:t>
            </w:r>
          </w:p>
        </w:tc>
      </w:tr>
    </w:tbl>
    <w:p>
      <w:pPr>
        <w:spacing w:after="100"/>
      </w:pPr>
    </w:p>
    <w:p>
      <w:pPr>
        <w:pStyle w:val="Heading3"/>
        <w:keepNext/>
        <w:spacing w:after="120" w:before="280"/>
      </w:pPr>
      <w:r>
        <w:rPr>
          <w:rFonts w:ascii="Arial" w:cs="Arial" w:eastAsia="Arial" w:hAnsi="Arial"/>
          <w:b/>
          <w:bCs/>
          <w:color w:val="17150F"/>
          <w:sz w:val="24"/>
          <w:szCs w:val="24"/>
        </w:rPr>
        <w:t xml:space="preserve">7.2 Warranty</w:t>
      </w:r>
    </w:p>
    <w:p>
      <w:pPr>
        <w:spacing w:after="160" w:line="320"/>
      </w:pPr>
      <w:r>
        <w:rPr>
          <w:rFonts w:ascii="Arial" w:cs="Arial" w:eastAsia="Arial" w:hAnsi="Arial"/>
          <w:color w:val="17150F"/>
          <w:sz w:val="22"/>
          <w:szCs w:val="22"/>
        </w:rPr>
        <w:t xml:space="preserve">7.2.1 The Supplier warrants that all Deliverables will: (a) conform to the Acceptance Criteria and specifications set out in this SoW; (b) be free from material defects; and (c) be fit for the purpose described in this SoW.</w:t>
      </w:r>
    </w:p>
    <w:p>
      <w:pPr>
        <w:spacing w:after="160" w:line="320"/>
      </w:pPr>
      <w:r>
        <w:rPr>
          <w:rFonts w:ascii="Arial" w:cs="Arial" w:eastAsia="Arial" w:hAnsi="Arial"/>
          <w:color w:val="17150F"/>
          <w:sz w:val="22"/>
          <w:szCs w:val="22"/>
        </w:rPr>
        <w:t xml:space="preserve">7.2.2 The warranty period for each Deliverable is the Warranty Period specified below, commencing on the date of acceptance of that Deliverable. During the warranty period, the Supplier must remedy any defects at no additional cost to the Buyer.</w:t>
      </w:r>
    </w:p>
    <w:p>
      <w:pPr>
        <w:spacing w:after="160" w:line="320"/>
      </w:pPr>
      <w:r>
        <w:rPr>
          <w:rFonts w:ascii="Arial" w:cs="Arial" w:eastAsia="Arial" w:hAnsi="Arial"/>
          <w:b/>
          <w:bCs/>
          <w:color w:val="17150F"/>
          <w:sz w:val="22"/>
          <w:szCs w:val="22"/>
        </w:rPr>
        <w:t xml:space="preserve">Warranty Period: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 from acceptance</w:t>
      </w:r>
    </w:p>
    <w:p>
      <w:pPr>
        <w:keepNext/>
        <w:pageBreakBefore/>
        <w:pBdr>
          <w:bottom w:val="single" w:color="17150F" w:sz="12" w:space="6"/>
        </w:pBdr>
        <w:spacing w:after="200" w:before="0"/>
      </w:pPr>
      <w:r>
        <w:rPr>
          <w:rFonts w:ascii="Arial" w:cs="Arial" w:eastAsia="Arial" w:hAnsi="Arial"/>
          <w:b/>
          <w:bCs/>
          <w:color w:val="4C483C"/>
          <w:sz w:val="30"/>
          <w:szCs w:val="30"/>
        </w:rPr>
        <w:t xml:space="preserve">08 </w:t>
      </w:r>
      <w:r>
        <w:rPr>
          <w:rFonts w:ascii="Arial" w:cs="Arial" w:eastAsia="Arial" w:hAnsi="Arial"/>
          <w:b/>
          <w:bCs/>
          <w:color w:val="17150F"/>
          <w:sz w:val="30"/>
          <w:szCs w:val="30"/>
        </w:rPr>
        <w:t xml:space="preserve">REGULATION</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Regulation. Data protection, AI governance, and employment classification are all evolving quickly, and legacy templates typically have significant gaps here. Review these clauses against current law at each engagement.</w:t>
            </w:r>
          </w:p>
        </w:tc>
      </w:tr>
    </w:tbl>
    <w:p>
      <w:pPr>
        <w:spacing w:after="140"/>
      </w:pPr>
    </w:p>
    <w:p>
      <w:pPr>
        <w:pStyle w:val="Heading3"/>
        <w:keepNext/>
        <w:spacing w:after="120" w:before="280"/>
      </w:pPr>
      <w:r>
        <w:rPr>
          <w:rFonts w:ascii="Arial" w:cs="Arial" w:eastAsia="Arial" w:hAnsi="Arial"/>
          <w:b/>
          <w:bCs/>
          <w:color w:val="17150F"/>
          <w:sz w:val="24"/>
          <w:szCs w:val="24"/>
        </w:rPr>
        <w:t xml:space="preserve">8.1 Data Protection</w:t>
      </w:r>
    </w:p>
    <w:p>
      <w:pPr>
        <w:spacing w:after="160" w:line="320"/>
      </w:pPr>
      <w:r>
        <w:rPr>
          <w:rFonts w:ascii="Arial" w:cs="Arial" w:eastAsia="Arial" w:hAnsi="Arial"/>
          <w:color w:val="17150F"/>
          <w:sz w:val="22"/>
          <w:szCs w:val="22"/>
        </w:rPr>
        <w:t xml:space="preserve">8.1.1 Where the Supplier processes Personal Data in connection with the Services, the Supplier must comply with all applicable data protection legislation, including </w:t>
      </w:r>
      <w:r>
        <w:rPr>
          <w:rFonts w:ascii="Arial" w:cs="Arial" w:eastAsia="Arial" w:hAnsi="Arial"/>
          <w:color w:val="17150F"/>
          <w:sz w:val="22"/>
          <w:szCs w:val="22"/>
          <w:shd w:fill="FBF1D4" w:val="clear"/>
        </w:rPr>
        <w:t xml:space="preserve">[GDPR / UK GDPR / CCPA / applicable legislation]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8.1.2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Process Personal Data only in accordance with the Buyer's documented instructions.</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Implement appropriate technical and organisational measures to protect Personal Data.</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Not transfer Personal Data outside </w:t>
      </w:r>
      <w:r>
        <w:rPr>
          <w:rFonts w:ascii="Arial" w:cs="Arial" w:eastAsia="Arial" w:hAnsi="Arial"/>
          <w:color w:val="17150F"/>
          <w:sz w:val="22"/>
          <w:szCs w:val="22"/>
          <w:shd w:fill="FBF1D4" w:val="clear"/>
        </w:rPr>
        <w:t xml:space="preserve">[the UK / EEA / applicable territory]</w:t>
      </w:r>
      <w:r>
        <w:rPr>
          <w:rFonts w:ascii="Arial" w:cs="Arial" w:eastAsia="Arial" w:hAnsi="Arial"/>
          <w:color w:val="17150F"/>
          <w:sz w:val="22"/>
          <w:szCs w:val="22"/>
        </w:rPr>
        <w:t xml:space="preserve"> without prior written consent and appropriate safeguards.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Notify the Buyer without undue delay (and within </w:t>
      </w:r>
      <w:r>
        <w:rPr>
          <w:rFonts w:ascii="Arial" w:cs="Arial" w:eastAsia="Arial" w:hAnsi="Arial"/>
          <w:color w:val="17150F"/>
          <w:sz w:val="22"/>
          <w:szCs w:val="22"/>
          <w:shd w:fill="FBF1D4" w:val="clear"/>
        </w:rPr>
        <w:t xml:space="preserve">[24 / 48 / 72]</w:t>
      </w:r>
      <w:r>
        <w:rPr>
          <w:rFonts w:ascii="Arial" w:cs="Arial" w:eastAsia="Arial" w:hAnsi="Arial"/>
          <w:color w:val="17150F"/>
          <w:sz w:val="22"/>
          <w:szCs w:val="22"/>
        </w:rPr>
        <w:t xml:space="preserve"> hours) upon becoming aware of any Personal Data breach.</w:t>
      </w:r>
    </w:p>
    <w:p>
      <w:pPr>
        <w:spacing w:after="100" w:line="320"/>
        <w:ind w:left="360"/>
      </w:pPr>
      <w:r>
        <w:rPr>
          <w:rFonts w:ascii="Arial" w:cs="Arial" w:eastAsia="Arial" w:hAnsi="Arial"/>
          <w:color w:val="17150F"/>
          <w:sz w:val="22"/>
          <w:szCs w:val="22"/>
        </w:rPr>
        <w:t xml:space="preserve">(e)  </w:t>
      </w:r>
      <w:r>
        <w:rPr>
          <w:rFonts w:ascii="Arial" w:cs="Arial" w:eastAsia="Arial" w:hAnsi="Arial"/>
          <w:color w:val="17150F"/>
          <w:sz w:val="22"/>
          <w:szCs w:val="22"/>
        </w:rPr>
        <w:t xml:space="preserve">Maintain a record of processing activities carried out on behalf of the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Category</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Subjects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Processing Purpose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Retention Period</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[CATEGORY]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[WHO]</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[PURPOSE]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[PERIOD]</w:t>
            </w:r>
          </w:p>
        </w:tc>
      </w:tr>
    </w:tbl>
    <w:p>
      <w:pPr>
        <w:spacing w:after="100"/>
      </w:pPr>
    </w:p>
    <w:p>
      <w:pPr>
        <w:pStyle w:val="Heading3"/>
        <w:keepNext/>
        <w:spacing w:after="120" w:before="280"/>
      </w:pPr>
      <w:r>
        <w:rPr>
          <w:rFonts w:ascii="Arial" w:cs="Arial" w:eastAsia="Arial" w:hAnsi="Arial"/>
          <w:b/>
          <w:bCs/>
          <w:color w:val="17150F"/>
          <w:sz w:val="24"/>
          <w:szCs w:val="24"/>
        </w:rPr>
        <w:t xml:space="preserve">8.2 Artificial Intelligence</w:t>
      </w:r>
    </w:p>
    <w:p>
      <w:pPr>
        <w:spacing w:after="160" w:line="320"/>
      </w:pPr>
      <w:r>
        <w:rPr>
          <w:rFonts w:ascii="Arial" w:cs="Arial" w:eastAsia="Arial" w:hAnsi="Arial"/>
          <w:color w:val="17150F"/>
          <w:sz w:val="22"/>
          <w:szCs w:val="22"/>
        </w:rPr>
        <w:t xml:space="preserve">8.2.1 The Supplier </w:t>
      </w:r>
      <w:r>
        <w:rPr>
          <w:rFonts w:ascii="Arial" w:cs="Arial" w:eastAsia="Arial" w:hAnsi="Arial"/>
          <w:color w:val="17150F"/>
          <w:sz w:val="22"/>
          <w:szCs w:val="22"/>
          <w:shd w:fill="FBF1D4" w:val="clear"/>
        </w:rPr>
        <w:t xml:space="preserve">[MUST DISCLOSE / MUST NOT USE / MAY USE SUBJECT TO CONDITIONS]</w:t>
      </w:r>
      <w:r>
        <w:rPr>
          <w:rFonts w:ascii="Arial" w:cs="Arial" w:eastAsia="Arial" w:hAnsi="Arial"/>
          <w:color w:val="17150F"/>
          <w:sz w:val="22"/>
          <w:szCs w:val="22"/>
        </w:rPr>
        <w:t xml:space="preserve"> artificial intelligence tools, including generative AI, in the performance of the Services.</w:t>
      </w:r>
    </w:p>
    <w:p>
      <w:pPr>
        <w:spacing w:after="160" w:line="320"/>
      </w:pPr>
      <w:r>
        <w:rPr>
          <w:rFonts w:ascii="Arial" w:cs="Arial" w:eastAsia="Arial" w:hAnsi="Arial"/>
          <w:color w:val="17150F"/>
          <w:sz w:val="22"/>
          <w:szCs w:val="22"/>
        </w:rPr>
        <w:t xml:space="preserve">8.2.2 Where AI tools are used,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Disclose all AI tools used and the specific tasks they are applied to.</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Ensure all AI-generated outputs are reviewed and validated by qualified human personnel before delivery.</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Ensure no Buyer Confidential Information or Personal Data is input into AI tools without prior written approval.</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Maintain records of AI usage sufficient to demonstrate compliance with this clause and applicable AI regulations.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AI Statement. Your suppliers are using generative AI, whether you know it or not. This clause provides visibility and control. Adapt the opening clause to your organisation's AI policy: full prohibition, conditional permission, or disclosure-only. Consider the EU AI Act and other emerging AI regulations when drafting. The AI row on the cover applies the same discipline to this document itself.</w:t>
            </w:r>
          </w:p>
        </w:tc>
      </w:tr>
    </w:tbl>
    <w:p>
      <w:pPr>
        <w:spacing w:after="140"/>
      </w:pPr>
    </w:p>
    <w:p>
      <w:pPr>
        <w:pStyle w:val="Heading3"/>
        <w:keepNext/>
        <w:spacing w:after="120" w:before="280"/>
      </w:pPr>
      <w:r>
        <w:rPr>
          <w:rFonts w:ascii="Arial" w:cs="Arial" w:eastAsia="Arial" w:hAnsi="Arial"/>
          <w:b/>
          <w:bCs/>
          <w:color w:val="17150F"/>
          <w:sz w:val="24"/>
          <w:szCs w:val="24"/>
        </w:rPr>
        <w:t xml:space="preserve">8.3 Employee Supply Chain Compliance</w:t>
      </w:r>
    </w:p>
    <w:p>
      <w:pPr>
        <w:spacing w:after="160" w:line="320"/>
      </w:pPr>
      <w:r>
        <w:rPr>
          <w:rFonts w:ascii="Arial" w:cs="Arial" w:eastAsia="Arial" w:hAnsi="Arial"/>
          <w:color w:val="17150F"/>
          <w:sz w:val="22"/>
          <w:szCs w:val="22"/>
        </w:rPr>
        <w:t xml:space="preserve">8.3.1 The Supplier represents and warrants that its workforce arrangements comply with all applicable employment, tax, and worker classification laws in the jurisdictions where the Services are performed.</w:t>
      </w:r>
    </w:p>
    <w:p>
      <w:pPr>
        <w:spacing w:after="160" w:line="320"/>
      </w:pPr>
      <w:r>
        <w:rPr>
          <w:rFonts w:ascii="Arial" w:cs="Arial" w:eastAsia="Arial" w:hAnsi="Arial"/>
          <w:color w:val="17150F"/>
          <w:sz w:val="22"/>
          <w:szCs w:val="22"/>
        </w:rPr>
        <w:t xml:space="preserve">8.3.2 The Supplier must, upon request, provide evidence of compliance with employment classification requirements for all personnel engaged in delivering the Services, including any subcontractors' personnel.</w:t>
      </w:r>
    </w:p>
    <w:p>
      <w:pPr>
        <w:keepNext/>
        <w:pageBreakBefore/>
        <w:pBdr>
          <w:bottom w:val="single" w:color="17150F" w:sz="12" w:space="6"/>
        </w:pBdr>
        <w:spacing w:after="200" w:before="0"/>
      </w:pPr>
      <w:r>
        <w:rPr>
          <w:rFonts w:ascii="Arial" w:cs="Arial" w:eastAsia="Arial" w:hAnsi="Arial"/>
          <w:b/>
          <w:bCs/>
          <w:color w:val="4C483C"/>
          <w:sz w:val="30"/>
          <w:szCs w:val="30"/>
        </w:rPr>
        <w:t xml:space="preserve">09 </w:t>
      </w:r>
      <w:r>
        <w:rPr>
          <w:rFonts w:ascii="Arial" w:cs="Arial" w:eastAsia="Arial" w:hAnsi="Arial"/>
          <w:b/>
          <w:bCs/>
          <w:color w:val="17150F"/>
          <w:sz w:val="30"/>
          <w:szCs w:val="30"/>
        </w:rPr>
        <w:t xml:space="preserve">LEGAL</w:t>
      </w:r>
    </w:p>
    <w:p>
      <w:pPr>
        <w:spacing w:after="0" w:before="160"/>
      </w:pPr>
    </w:p>
    <w:p>
      <w:pPr>
        <w:pStyle w:val="Heading3"/>
        <w:keepNext/>
        <w:spacing w:after="120" w:before="280"/>
      </w:pPr>
      <w:r>
        <w:rPr>
          <w:rFonts w:ascii="Arial" w:cs="Arial" w:eastAsia="Arial" w:hAnsi="Arial"/>
          <w:b/>
          <w:bCs/>
          <w:color w:val="17150F"/>
          <w:sz w:val="24"/>
          <w:szCs w:val="24"/>
        </w:rPr>
        <w:t xml:space="preserve">9.1 Contract Foundation</w:t>
      </w:r>
    </w:p>
    <w:p>
      <w:pPr>
        <w:spacing w:after="160" w:line="320"/>
      </w:pPr>
      <w:r>
        <w:rPr>
          <w:rFonts w:ascii="Arial" w:cs="Arial" w:eastAsia="Arial" w:hAnsi="Arial"/>
          <w:b/>
          <w:bCs/>
          <w:color w:val="17150F"/>
          <w:sz w:val="22"/>
          <w:szCs w:val="22"/>
        </w:rPr>
        <w:t xml:space="preserve">Select one and delete the others: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MSA-Supported,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PO-Supported,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Standalone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Contract Foundation. If this SoW operates under an MSA, many legal provisions are inherited and need not be repeated. If standalone, this SoW must be a complete legal agreement. Select the applicable foundation and delete the other two options below.</w:t>
            </w:r>
          </w:p>
        </w:tc>
      </w:tr>
    </w:tbl>
    <w:p>
      <w:pPr>
        <w:spacing w:after="140"/>
      </w:pPr>
    </w:p>
    <w:p>
      <w:pPr>
        <w:spacing w:after="160" w:line="320"/>
      </w:pPr>
      <w:r>
        <w:rPr>
          <w:rFonts w:ascii="Arial" w:cs="Arial" w:eastAsia="Arial" w:hAnsi="Arial"/>
          <w:b/>
          <w:bCs/>
          <w:color w:val="17150F"/>
          <w:sz w:val="22"/>
          <w:szCs w:val="22"/>
        </w:rPr>
        <w:t xml:space="preserve">Option A: MSA-Supported</w:t>
      </w:r>
    </w:p>
    <w:p>
      <w:pPr>
        <w:spacing w:after="160" w:line="320"/>
      </w:pPr>
      <w:r>
        <w:rPr>
          <w:rFonts w:ascii="Arial" w:cs="Arial" w:eastAsia="Arial" w:hAnsi="Arial"/>
          <w:color w:val="17150F"/>
          <w:sz w:val="22"/>
          <w:szCs w:val="22"/>
        </w:rPr>
        <w:t xml:space="preserve">9.1.1 This SoW is entered into pursuant to and governed by the Master Service Agreement dated </w:t>
      </w:r>
      <w:r>
        <w:rPr>
          <w:rFonts w:ascii="Arial" w:cs="Arial" w:eastAsia="Arial" w:hAnsi="Arial"/>
          <w:color w:val="17150F"/>
          <w:sz w:val="22"/>
          <w:szCs w:val="22"/>
          <w:shd w:fill="FBF1D4" w:val="clear"/>
        </w:rPr>
        <w:t xml:space="preserve">[MSA_DATE]</w:t>
      </w:r>
      <w:r>
        <w:rPr>
          <w:rFonts w:ascii="Arial" w:cs="Arial" w:eastAsia="Arial" w:hAnsi="Arial"/>
          <w:color w:val="17150F"/>
          <w:sz w:val="22"/>
          <w:szCs w:val="22"/>
        </w:rPr>
        <w:t xml:space="preserve"> between the parties (the 'MSA'), reference </w:t>
      </w:r>
      <w:r>
        <w:rPr>
          <w:rFonts w:ascii="Arial" w:cs="Arial" w:eastAsia="Arial" w:hAnsi="Arial"/>
          <w:color w:val="17150F"/>
          <w:sz w:val="22"/>
          <w:szCs w:val="22"/>
          <w:shd w:fill="FBF1D4" w:val="clear"/>
        </w:rPr>
        <w:t xml:space="preserve">[MSA_REFERENCE]</w:t>
      </w:r>
      <w:r>
        <w:rPr>
          <w:rFonts w:ascii="Arial" w:cs="Arial" w:eastAsia="Arial" w:hAnsi="Arial"/>
          <w:color w:val="17150F"/>
          <w:sz w:val="22"/>
          <w:szCs w:val="22"/>
        </w:rPr>
        <w:t xml:space="preserve">. In the event of conflict between this SoW and the MSA, </w:t>
      </w:r>
      <w:r>
        <w:rPr>
          <w:rFonts w:ascii="Arial" w:cs="Arial" w:eastAsia="Arial" w:hAnsi="Arial"/>
          <w:color w:val="17150F"/>
          <w:sz w:val="22"/>
          <w:szCs w:val="22"/>
          <w:shd w:fill="FBF1D4" w:val="clear"/>
        </w:rPr>
        <w:t xml:space="preserve">[THE MSA / THIS SoW]</w:t>
      </w:r>
      <w:r>
        <w:rPr>
          <w:rFonts w:ascii="Arial" w:cs="Arial" w:eastAsia="Arial" w:hAnsi="Arial"/>
          <w:color w:val="17150F"/>
          <w:sz w:val="22"/>
          <w:szCs w:val="22"/>
        </w:rPr>
        <w:t xml:space="preserve"> shall prevail.</w:t>
      </w:r>
    </w:p>
    <w:p>
      <w:pPr>
        <w:spacing w:after="160" w:line="320"/>
      </w:pPr>
      <w:r>
        <w:rPr>
          <w:rFonts w:ascii="Arial" w:cs="Arial" w:eastAsia="Arial" w:hAnsi="Arial"/>
          <w:b/>
          <w:bCs/>
          <w:color w:val="17150F"/>
          <w:sz w:val="22"/>
          <w:szCs w:val="22"/>
        </w:rPr>
        <w:t xml:space="preserve">Option B: PO-Supported</w:t>
      </w:r>
    </w:p>
    <w:p>
      <w:pPr>
        <w:spacing w:after="160" w:line="320"/>
      </w:pPr>
      <w:r>
        <w:rPr>
          <w:rFonts w:ascii="Arial" w:cs="Arial" w:eastAsia="Arial" w:hAnsi="Arial"/>
          <w:color w:val="17150F"/>
          <w:sz w:val="22"/>
          <w:szCs w:val="22"/>
        </w:rPr>
        <w:t xml:space="preserve">9.1.2 This SoW is issued under Purchase Order </w:t>
      </w:r>
      <w:r>
        <w:rPr>
          <w:rFonts w:ascii="Arial" w:cs="Arial" w:eastAsia="Arial" w:hAnsi="Arial"/>
          <w:color w:val="17150F"/>
          <w:sz w:val="22"/>
          <w:szCs w:val="22"/>
          <w:shd w:fill="FBF1D4" w:val="clear"/>
        </w:rPr>
        <w:t xml:space="preserve">[PO_NUMBER]</w:t>
      </w:r>
      <w:r>
        <w:rPr>
          <w:rFonts w:ascii="Arial" w:cs="Arial" w:eastAsia="Arial" w:hAnsi="Arial"/>
          <w:color w:val="17150F"/>
          <w:sz w:val="22"/>
          <w:szCs w:val="22"/>
        </w:rPr>
        <w:t xml:space="preserve"> dated </w:t>
      </w:r>
      <w:r>
        <w:rPr>
          <w:rFonts w:ascii="Arial" w:cs="Arial" w:eastAsia="Arial" w:hAnsi="Arial"/>
          <w:color w:val="17150F"/>
          <w:sz w:val="22"/>
          <w:szCs w:val="22"/>
          <w:shd w:fill="FBF1D4" w:val="clear"/>
        </w:rPr>
        <w:t xml:space="preserve">[PO_DATE]</w:t>
      </w:r>
      <w:r>
        <w:rPr>
          <w:rFonts w:ascii="Arial" w:cs="Arial" w:eastAsia="Arial" w:hAnsi="Arial"/>
          <w:color w:val="17150F"/>
          <w:sz w:val="22"/>
          <w:szCs w:val="22"/>
        </w:rPr>
        <w:t xml:space="preserve">. The terms and conditions of the Purchase Order apply to the extent not inconsistent with this SoW.</w:t>
      </w:r>
    </w:p>
    <w:p>
      <w:pPr>
        <w:spacing w:after="160" w:line="320"/>
      </w:pPr>
      <w:r>
        <w:rPr>
          <w:rFonts w:ascii="Arial" w:cs="Arial" w:eastAsia="Arial" w:hAnsi="Arial"/>
          <w:b/>
          <w:bCs/>
          <w:color w:val="17150F"/>
          <w:sz w:val="22"/>
          <w:szCs w:val="22"/>
        </w:rPr>
        <w:t xml:space="preserve">Option C: Standalone</w:t>
      </w:r>
    </w:p>
    <w:p>
      <w:pPr>
        <w:spacing w:after="160" w:line="320"/>
      </w:pPr>
      <w:r>
        <w:rPr>
          <w:rFonts w:ascii="Arial" w:cs="Arial" w:eastAsia="Arial" w:hAnsi="Arial"/>
          <w:color w:val="17150F"/>
          <w:sz w:val="22"/>
          <w:szCs w:val="22"/>
        </w:rPr>
        <w:t xml:space="preserve">9.1.3 This SoW constitutes the entire agreement between the parties in respect of the Services described herein. No prior agreements, representations, or understandings shall have effect.</w:t>
      </w:r>
    </w:p>
    <w:p>
      <w:pPr>
        <w:pStyle w:val="Heading3"/>
        <w:keepNext/>
        <w:spacing w:after="120" w:before="280"/>
      </w:pPr>
      <w:r>
        <w:rPr>
          <w:rFonts w:ascii="Arial" w:cs="Arial" w:eastAsia="Arial" w:hAnsi="Arial"/>
          <w:b/>
          <w:bCs/>
          <w:color w:val="17150F"/>
          <w:sz w:val="24"/>
          <w:szCs w:val="24"/>
        </w:rPr>
        <w:t xml:space="preserve">9.2 Exclusions and Limitation of Liability</w:t>
      </w:r>
    </w:p>
    <w:p>
      <w:pPr>
        <w:spacing w:after="160" w:line="320"/>
      </w:pPr>
      <w:r>
        <w:rPr>
          <w:rFonts w:ascii="Arial" w:cs="Arial" w:eastAsia="Arial" w:hAnsi="Arial"/>
          <w:b/>
          <w:bCs/>
          <w:color w:val="17150F"/>
          <w:sz w:val="22"/>
          <w:szCs w:val="22"/>
        </w:rPr>
        <w:t xml:space="preserve">Where this SoW is MSA-Supported</w:t>
      </w:r>
    </w:p>
    <w:p>
      <w:pPr>
        <w:spacing w:after="160" w:line="320"/>
      </w:pPr>
      <w:r>
        <w:rPr>
          <w:rFonts w:ascii="Arial" w:cs="Arial" w:eastAsia="Arial" w:hAnsi="Arial"/>
          <w:color w:val="17150F"/>
          <w:sz w:val="22"/>
          <w:szCs w:val="22"/>
        </w:rPr>
        <w:t xml:space="preserve">9.2.1 The exclusions and limitations of liability set out in the MSA apply to this SoW and are not repeated or varied here.</w:t>
      </w:r>
    </w:p>
    <w:p>
      <w:pPr>
        <w:spacing w:after="160" w:line="320"/>
      </w:pPr>
      <w:r>
        <w:rPr>
          <w:rFonts w:ascii="Arial" w:cs="Arial" w:eastAsia="Arial" w:hAnsi="Arial"/>
          <w:b/>
          <w:bCs/>
          <w:color w:val="17150F"/>
          <w:sz w:val="22"/>
          <w:szCs w:val="22"/>
        </w:rPr>
        <w:t xml:space="preserve">Where this SoW is Standalone or PO-Supported without liability terms</w:t>
      </w:r>
    </w:p>
    <w:p>
      <w:pPr>
        <w:spacing w:after="160" w:line="320"/>
      </w:pPr>
      <w:r>
        <w:rPr>
          <w:rFonts w:ascii="Arial" w:cs="Arial" w:eastAsia="Arial" w:hAnsi="Arial"/>
          <w:color w:val="17150F"/>
          <w:sz w:val="22"/>
          <w:szCs w:val="22"/>
        </w:rPr>
        <w:t xml:space="preserve">9.2.2 Each party's total aggregate liability arising under or in connection with this SoW, whether in contract, tort (including negligence), or otherwise, is limited to </w:t>
      </w:r>
      <w:r>
        <w:rPr>
          <w:rFonts w:ascii="Arial" w:cs="Arial" w:eastAsia="Arial" w:hAnsi="Arial"/>
          <w:color w:val="17150F"/>
          <w:sz w:val="22"/>
          <w:szCs w:val="22"/>
          <w:shd w:fill="FBF1D4" w:val="clear"/>
        </w:rPr>
        <w:t xml:space="preserve">[100% / 125% / 150%]</w:t>
      </w:r>
      <w:r>
        <w:rPr>
          <w:rFonts w:ascii="Arial" w:cs="Arial" w:eastAsia="Arial" w:hAnsi="Arial"/>
          <w:color w:val="17150F"/>
          <w:sz w:val="22"/>
          <w:szCs w:val="22"/>
        </w:rPr>
        <w:t xml:space="preserve"> of the total charges paid or payable under this SoW.</w:t>
      </w:r>
    </w:p>
    <w:p>
      <w:pPr>
        <w:spacing w:after="160" w:line="320"/>
      </w:pPr>
      <w:r>
        <w:rPr>
          <w:rFonts w:ascii="Arial" w:cs="Arial" w:eastAsia="Arial" w:hAnsi="Arial"/>
          <w:color w:val="17150F"/>
          <w:sz w:val="22"/>
          <w:szCs w:val="22"/>
        </w:rPr>
        <w:t xml:space="preserve">9.2.3 Neither party is liable to the other for loss of profit, loss of revenue, loss of anticipated savings, loss of data, or any indirect or consequential loss, however arising.</w:t>
      </w:r>
    </w:p>
    <w:p>
      <w:pPr>
        <w:spacing w:after="160" w:line="320"/>
      </w:pPr>
      <w:r>
        <w:rPr>
          <w:rFonts w:ascii="Arial" w:cs="Arial" w:eastAsia="Arial" w:hAnsi="Arial"/>
          <w:color w:val="17150F"/>
          <w:sz w:val="22"/>
          <w:szCs w:val="22"/>
        </w:rPr>
        <w:t xml:space="preserve">9.2.4 Nothing in this SoW excludes or limits liability for death or personal injury caused by negligence, for fraud or fraudulent misrepresentation, or for any liability that cannot be excluded or limited by law.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Liability. A liability clause left as a placeholder, or with no cap, is a defect the standard checks for. Keep the cap expressed as a percentage of charges so it scales with the engagement, and take legal advice on the right level for the risk involved.</w:t>
            </w:r>
          </w:p>
        </w:tc>
      </w:tr>
    </w:tbl>
    <w:p>
      <w:pPr>
        <w:spacing w:after="140"/>
      </w:pPr>
    </w:p>
    <w:p>
      <w:pPr>
        <w:pStyle w:val="Heading3"/>
        <w:keepNext/>
        <w:spacing w:after="120" w:before="280"/>
      </w:pPr>
      <w:r>
        <w:rPr>
          <w:rFonts w:ascii="Arial" w:cs="Arial" w:eastAsia="Arial" w:hAnsi="Arial"/>
          <w:b/>
          <w:bCs/>
          <w:color w:val="17150F"/>
          <w:sz w:val="24"/>
          <w:szCs w:val="24"/>
        </w:rPr>
        <w:t xml:space="preserve">9.3 Boilerplate Provisions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Boilerplate. For MSA-Supported SoWs, most boilerplate is inherited from the MSA: delete provisions the MSA already covers. For Standalone SoWs, include the full set of nine.</w:t>
            </w:r>
          </w:p>
        </w:tc>
      </w:tr>
    </w:tbl>
    <w:p>
      <w:pPr>
        <w:spacing w:after="140"/>
      </w:pPr>
    </w:p>
    <w:p>
      <w:pPr>
        <w:spacing w:after="160" w:line="320"/>
      </w:pPr>
      <w:r>
        <w:rPr>
          <w:rFonts w:ascii="Arial" w:cs="Arial" w:eastAsia="Arial" w:hAnsi="Arial"/>
          <w:color w:val="17150F"/>
          <w:sz w:val="22"/>
          <w:szCs w:val="22"/>
        </w:rPr>
        <w:t xml:space="preserve">9.3.1 Confidentiality. Each party must keep confidential all information received from the other party in connection with this SoW and must not disclose it to any third party without prior written consent, except as required by law.</w:t>
      </w:r>
    </w:p>
    <w:p>
      <w:pPr>
        <w:spacing w:after="160" w:line="320"/>
      </w:pPr>
      <w:r>
        <w:rPr>
          <w:rFonts w:ascii="Arial" w:cs="Arial" w:eastAsia="Arial" w:hAnsi="Arial"/>
          <w:color w:val="17150F"/>
          <w:sz w:val="22"/>
          <w:szCs w:val="22"/>
        </w:rPr>
        <w:t xml:space="preserve">9.3.2 Intellectual Property. All intellectual property created by the Supplier (bespoke) in performing the Services shall vest in the Buyer upon creation.</w:t>
      </w:r>
    </w:p>
    <w:p>
      <w:pPr>
        <w:spacing w:after="160" w:line="320"/>
      </w:pPr>
      <w:r>
        <w:rPr>
          <w:rFonts w:ascii="Arial" w:cs="Arial" w:eastAsia="Arial" w:hAnsi="Arial"/>
          <w:color w:val="17150F"/>
          <w:sz w:val="22"/>
          <w:szCs w:val="22"/>
        </w:rPr>
        <w:t xml:space="preserve">9.3.3 Force Majeure. Neither party shall be liable for failure or delay in performance caused by circumstances beyond its reasonable control, provided that the affected party notifies the other promptly and takes reasonable steps to mitigate the impact.</w:t>
      </w:r>
    </w:p>
    <w:p>
      <w:pPr>
        <w:spacing w:after="160" w:line="320"/>
      </w:pPr>
      <w:r>
        <w:rPr>
          <w:rFonts w:ascii="Arial" w:cs="Arial" w:eastAsia="Arial" w:hAnsi="Arial"/>
          <w:color w:val="17150F"/>
          <w:sz w:val="22"/>
          <w:szCs w:val="22"/>
        </w:rPr>
        <w:t xml:space="preserve">9.3.4 Amendment. This SoW may only be amended by written agreement signed by authorised representatives of both parties.</w:t>
      </w:r>
    </w:p>
    <w:p>
      <w:pPr>
        <w:spacing w:after="160" w:line="320"/>
      </w:pPr>
      <w:r>
        <w:rPr>
          <w:rFonts w:ascii="Arial" w:cs="Arial" w:eastAsia="Arial" w:hAnsi="Arial"/>
          <w:color w:val="17150F"/>
          <w:sz w:val="22"/>
          <w:szCs w:val="22"/>
        </w:rPr>
        <w:t xml:space="preserve">9.3.5 Severability. If any provision of this SoW is found to be invalid or unenforceable, the remaining provisions shall continue in full force and effect.</w:t>
      </w:r>
    </w:p>
    <w:p>
      <w:pPr>
        <w:spacing w:after="160" w:line="320"/>
      </w:pPr>
      <w:r>
        <w:rPr>
          <w:rFonts w:ascii="Arial" w:cs="Arial" w:eastAsia="Arial" w:hAnsi="Arial"/>
          <w:color w:val="17150F"/>
          <w:sz w:val="22"/>
          <w:szCs w:val="22"/>
        </w:rPr>
        <w:t xml:space="preserve">9.3.6 No Waiver. Failure to enforce any provision of this SoW shall not constitute a waiver of that provision or any other provision.</w:t>
      </w:r>
    </w:p>
    <w:p>
      <w:pPr>
        <w:spacing w:after="160" w:line="320"/>
      </w:pPr>
      <w:r>
        <w:rPr>
          <w:rFonts w:ascii="Arial" w:cs="Arial" w:eastAsia="Arial" w:hAnsi="Arial"/>
          <w:color w:val="17150F"/>
          <w:sz w:val="22"/>
          <w:szCs w:val="22"/>
        </w:rPr>
        <w:t xml:space="preserve">9.3.7 Assignment. Neither party may assign this SoW without the prior written consent of the other party.</w:t>
      </w:r>
    </w:p>
    <w:p>
      <w:pPr>
        <w:spacing w:after="160" w:line="320"/>
      </w:pPr>
      <w:r>
        <w:rPr>
          <w:rFonts w:ascii="Arial" w:cs="Arial" w:eastAsia="Arial" w:hAnsi="Arial"/>
          <w:color w:val="17150F"/>
          <w:sz w:val="22"/>
          <w:szCs w:val="22"/>
        </w:rPr>
        <w:t xml:space="preserve">9.3.8 Third Party Rights. This SoW does not create any rights enforceable by any person who is not a party to it.</w:t>
      </w:r>
    </w:p>
    <w:p>
      <w:pPr>
        <w:spacing w:after="160" w:line="320"/>
      </w:pPr>
      <w:r>
        <w:rPr>
          <w:rFonts w:ascii="Arial" w:cs="Arial" w:eastAsia="Arial" w:hAnsi="Arial"/>
          <w:color w:val="17150F"/>
          <w:sz w:val="22"/>
          <w:szCs w:val="22"/>
        </w:rPr>
        <w:t xml:space="preserve">9.3.9 Counterparts. This SoW may be executed in any number of counterparts, each of which shall be an original and all of which together shall constitute one agreement.</w:t>
      </w:r>
    </w:p>
    <w:p>
      <w:pPr>
        <w:keepNext/>
        <w:pageBreakBefore/>
        <w:pBdr>
          <w:bottom w:val="single" w:color="17150F" w:sz="12" w:space="6"/>
        </w:pBdr>
        <w:spacing w:after="200" w:before="0"/>
      </w:pPr>
      <w:r>
        <w:rPr>
          <w:rFonts w:ascii="Arial" w:cs="Arial" w:eastAsia="Arial" w:hAnsi="Arial"/>
          <w:b/>
          <w:bCs/>
          <w:color w:val="4C483C"/>
          <w:sz w:val="30"/>
          <w:szCs w:val="30"/>
        </w:rPr>
        <w:t xml:space="preserve">10 </w:t>
      </w:r>
      <w:r>
        <w:rPr>
          <w:rFonts w:ascii="Arial" w:cs="Arial" w:eastAsia="Arial" w:hAnsi="Arial"/>
          <w:b/>
          <w:bCs/>
          <w:color w:val="17150F"/>
          <w:sz w:val="30"/>
          <w:szCs w:val="30"/>
        </w:rPr>
        <w:t xml:space="preserve">COMMERCIAL</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ABBAF" w:sz="24"/>
              <w:bottom w:val="none" w:color="FFFFFF" w:sz="0"/>
              <w:right w:val="none" w:color="FFFFFF" w:sz="0"/>
            </w:tcBorders>
            <w:shd w:fill="F7E9E6" w:val="clear"/>
            <w:tcMar>
              <w:top w:type="dxa" w:w="140"/>
              <w:left w:type="dxa" w:w="200"/>
              <w:bottom w:type="dxa" w:w="140"/>
              <w:right w:type="dxa" w:w="200"/>
            </w:tcMar>
          </w:tcPr>
          <w:p>
            <w:pPr>
              <w:spacing w:line="300"/>
            </w:pPr>
            <w:r>
              <w:rPr>
                <w:rFonts w:ascii="Arial" w:cs="Arial" w:eastAsia="Arial" w:hAnsi="Arial"/>
                <w:color w:val="17150F"/>
                <w:sz w:val="18"/>
                <w:szCs w:val="18"/>
              </w:rPr>
              <w:t xml:space="preserve">This section deliberately excludes Assumptions and Project Briefs. Assumptions create scope ambiguity: convert them to concrete requirements. Project briefs belong in separate documents.</w:t>
            </w:r>
          </w:p>
        </w:tc>
      </w:tr>
    </w:tbl>
    <w:p>
      <w:pPr>
        <w:spacing w:after="140"/>
      </w:pPr>
    </w:p>
    <w:p>
      <w:pPr>
        <w:pStyle w:val="Heading3"/>
        <w:keepNext/>
        <w:spacing w:after="120" w:before="280"/>
      </w:pPr>
      <w:r>
        <w:rPr>
          <w:rFonts w:ascii="Arial" w:cs="Arial" w:eastAsia="Arial" w:hAnsi="Arial"/>
          <w:b/>
          <w:bCs/>
          <w:color w:val="17150F"/>
          <w:sz w:val="24"/>
          <w:szCs w:val="24"/>
        </w:rPr>
        <w:t xml:space="preserve">10.1 Change Request Process</w:t>
      </w:r>
    </w:p>
    <w:p>
      <w:pPr>
        <w:spacing w:after="160" w:line="320"/>
      </w:pPr>
      <w:r>
        <w:rPr>
          <w:rFonts w:ascii="Arial" w:cs="Arial" w:eastAsia="Arial" w:hAnsi="Arial"/>
          <w:color w:val="17150F"/>
          <w:sz w:val="22"/>
          <w:szCs w:val="22"/>
        </w:rPr>
        <w:t xml:space="preserve">10.1.1 Any change to the Scope, Deliverables, Timeline, or Pricing of this SoW must be requested through a formal Change Request.</w:t>
      </w:r>
    </w:p>
    <w:p>
      <w:pPr>
        <w:spacing w:after="160" w:line="320"/>
      </w:pPr>
      <w:r>
        <w:rPr>
          <w:rFonts w:ascii="Arial" w:cs="Arial" w:eastAsia="Arial" w:hAnsi="Arial"/>
          <w:color w:val="17150F"/>
          <w:sz w:val="22"/>
          <w:szCs w:val="22"/>
        </w:rPr>
        <w:t xml:space="preserve">10.1.2 The Change Request process is as follows:</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The requesting party submits a written Change Request describing the proposed change, its impact on scope, timeline, and cost.</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The receiving party assesses the Change Request and provides a response within </w:t>
      </w:r>
      <w:r>
        <w:rPr>
          <w:rFonts w:ascii="Arial" w:cs="Arial" w:eastAsia="Arial" w:hAnsi="Arial"/>
          <w:color w:val="17150F"/>
          <w:sz w:val="22"/>
          <w:szCs w:val="22"/>
          <w:shd w:fill="FBF1D4" w:val="clear"/>
        </w:rPr>
        <w:t xml:space="preserve">[5 / 10]</w:t>
      </w:r>
      <w:r>
        <w:rPr>
          <w:rFonts w:ascii="Arial" w:cs="Arial" w:eastAsia="Arial" w:hAnsi="Arial"/>
          <w:color w:val="17150F"/>
          <w:sz w:val="22"/>
          <w:szCs w:val="22"/>
        </w:rPr>
        <w:t xml:space="preserve"> business days.</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 change is effective until a Change Request is agreed in writing by both parties.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All approved Change Requests are appended to this SoW and form part of it.</w:t>
      </w:r>
    </w:p>
    <w:p>
      <w:pPr>
        <w:keepNext/>
        <w:pageBreakBefore/>
        <w:pBdr>
          <w:bottom w:val="single" w:color="17150F" w:sz="12" w:space="6"/>
        </w:pBdr>
        <w:spacing w:after="200" w:before="0"/>
      </w:pPr>
      <w:r>
        <w:rPr>
          <w:rFonts w:ascii="Arial" w:cs="Arial" w:eastAsia="Arial" w:hAnsi="Arial"/>
          <w:b/>
          <w:bCs/>
          <w:color w:val="4C483C"/>
          <w:sz w:val="30"/>
          <w:szCs w:val="30"/>
        </w:rPr>
        <w:t xml:space="preserve">11 </w:t>
      </w:r>
      <w:r>
        <w:rPr>
          <w:rFonts w:ascii="Arial" w:cs="Arial" w:eastAsia="Arial" w:hAnsi="Arial"/>
          <w:b/>
          <w:bCs/>
          <w:color w:val="17150F"/>
          <w:sz w:val="30"/>
          <w:szCs w:val="30"/>
        </w:rPr>
        <w:t xml:space="preserve">ADMINISTRATION</w:t>
      </w:r>
    </w:p>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Administration. These elements seem routine but inconsistency creates operational friction and commercial disputes. Standardise them across all SoWs to reduce negotiation overhead.</w:t>
            </w:r>
          </w:p>
        </w:tc>
      </w:tr>
    </w:tbl>
    <w:p>
      <w:pPr>
        <w:spacing w:after="140"/>
      </w:pPr>
    </w:p>
    <w:p>
      <w:pPr>
        <w:pStyle w:val="Heading3"/>
        <w:keepNext/>
        <w:spacing w:after="120" w:before="280"/>
      </w:pPr>
      <w:r>
        <w:rPr>
          <w:rFonts w:ascii="Arial" w:cs="Arial" w:eastAsia="Arial" w:hAnsi="Arial"/>
          <w:b/>
          <w:bCs/>
          <w:color w:val="17150F"/>
          <w:sz w:val="24"/>
          <w:szCs w:val="24"/>
        </w:rPr>
        <w:t xml:space="preserve">11.1 Payment Terms</w:t>
      </w:r>
    </w:p>
    <w:p>
      <w:pPr>
        <w:spacing w:after="160" w:line="320"/>
      </w:pPr>
      <w:r>
        <w:rPr>
          <w:rFonts w:ascii="Arial" w:cs="Arial" w:eastAsia="Arial" w:hAnsi="Arial"/>
          <w:color w:val="17150F"/>
          <w:sz w:val="22"/>
          <w:szCs w:val="22"/>
        </w:rPr>
        <w:t xml:space="preserve">11.1.1 The Buyer shall pay undisputed invoices within the period specified in the Payment Terms below, calculated from receipt of a valid invoice.</w:t>
      </w:r>
    </w:p>
    <w:p>
      <w:pPr>
        <w:spacing w:after="160" w:line="320"/>
      </w:pPr>
      <w:r>
        <w:rPr>
          <w:rFonts w:ascii="Arial" w:cs="Arial" w:eastAsia="Arial" w:hAnsi="Arial"/>
          <w:color w:val="17150F"/>
          <w:sz w:val="22"/>
          <w:szCs w:val="22"/>
        </w:rPr>
        <w:t xml:space="preserve">11.1.2 Invoices must reference the SoW Reference Number and include: (a) a description of the Services performed; (b) the applicable Pricing Table reference; (c) the period covered; and (d) any applicable taxes.</w:t>
      </w:r>
    </w:p>
    <w:p>
      <w:pPr>
        <w:spacing w:after="160" w:line="320"/>
      </w:pPr>
      <w:r>
        <w:rPr>
          <w:rFonts w:ascii="Arial" w:cs="Arial" w:eastAsia="Arial" w:hAnsi="Arial"/>
          <w:b/>
          <w:bCs/>
          <w:color w:val="17150F"/>
          <w:sz w:val="22"/>
          <w:szCs w:val="22"/>
        </w:rPr>
        <w:t xml:space="preserve">Payment Terms: </w:t>
      </w:r>
      <w:r>
        <w:rPr>
          <w:rFonts w:ascii="Arial" w:cs="Arial" w:eastAsia="Arial" w:hAnsi="Arial"/>
          <w:color w:val="17150F"/>
          <w:sz w:val="22"/>
          <w:szCs w:val="22"/>
          <w:shd w:fill="FBF1D4" w:val="clear"/>
        </w:rPr>
        <w:t xml:space="preserve">[30 / 45 / 60]</w:t>
      </w:r>
      <w:r>
        <w:rPr>
          <w:rFonts w:ascii="Arial" w:cs="Arial" w:eastAsia="Arial" w:hAnsi="Arial"/>
          <w:color w:val="17150F"/>
          <w:sz w:val="22"/>
          <w:szCs w:val="22"/>
        </w:rPr>
        <w:t xml:space="preserve"> calendar days from receipt of valid invoice</w:t>
      </w:r>
    </w:p>
    <w:p>
      <w:pPr>
        <w:pStyle w:val="Heading3"/>
        <w:keepNext/>
        <w:spacing w:after="120" w:before="280"/>
      </w:pPr>
      <w:r>
        <w:rPr>
          <w:rFonts w:ascii="Arial" w:cs="Arial" w:eastAsia="Arial" w:hAnsi="Arial"/>
          <w:b/>
          <w:bCs/>
          <w:color w:val="17150F"/>
          <w:sz w:val="24"/>
          <w:szCs w:val="24"/>
        </w:rPr>
        <w:t xml:space="preserve">11.2 Work Location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Location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Address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Security Requirements</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Personnel Based Here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[PRIMARY_LOCATION]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[SECONDARY_LOCATION]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bl>
    <w:p>
      <w:pPr>
        <w:spacing w:after="100"/>
      </w:pPr>
    </w:p>
    <w:p>
      <w:pPr>
        <w:spacing w:after="160" w:line="320"/>
      </w:pPr>
      <w:r>
        <w:rPr>
          <w:rFonts w:ascii="Arial" w:cs="Arial" w:eastAsia="Arial" w:hAnsi="Arial"/>
          <w:color w:val="17150F"/>
          <w:sz w:val="22"/>
          <w:szCs w:val="22"/>
        </w:rPr>
        <w:t xml:space="preserve">11.2.1 Remote working is </w:t>
      </w:r>
      <w:r>
        <w:rPr>
          <w:rFonts w:ascii="Arial" w:cs="Arial" w:eastAsia="Arial" w:hAnsi="Arial"/>
          <w:color w:val="17150F"/>
          <w:sz w:val="22"/>
          <w:szCs w:val="22"/>
          <w:shd w:fill="FBF1D4" w:val="clear"/>
        </w:rPr>
        <w:t xml:space="preserve">[PERMITTED / NOT PERMITTED / PERMITTED WITH PRIOR APPROVAL]</w:t>
      </w:r>
      <w:r>
        <w:rPr>
          <w:rFonts w:ascii="Arial" w:cs="Arial" w:eastAsia="Arial" w:hAnsi="Arial"/>
          <w:color w:val="17150F"/>
          <w:sz w:val="22"/>
          <w:szCs w:val="22"/>
        </w:rPr>
        <w:t xml:space="preserve">. Where remote working is permitted, the Supplier must ensure compliance with all applicable data security and confidentiality requirements.</w:t>
      </w:r>
    </w:p>
    <w:p>
      <w:pPr>
        <w:pStyle w:val="Heading3"/>
        <w:keepNext/>
        <w:spacing w:after="120" w:before="280"/>
      </w:pPr>
      <w:r>
        <w:rPr>
          <w:rFonts w:ascii="Arial" w:cs="Arial" w:eastAsia="Arial" w:hAnsi="Arial"/>
          <w:b/>
          <w:bCs/>
          <w:color w:val="17150F"/>
          <w:sz w:val="24"/>
          <w:szCs w:val="24"/>
        </w:rPr>
        <w:t xml:space="preserve">11.3 Notifications</w:t>
      </w:r>
    </w:p>
    <w:p>
      <w:pPr>
        <w:spacing w:after="160" w:line="320"/>
      </w:pPr>
      <w:r>
        <w:rPr>
          <w:rFonts w:ascii="Arial" w:cs="Arial" w:eastAsia="Arial" w:hAnsi="Arial"/>
          <w:color w:val="17150F"/>
          <w:sz w:val="22"/>
          <w:szCs w:val="22"/>
        </w:rPr>
        <w:t xml:space="preserve">11.3.1 All formal notices under this SoW must be in writing and delivered by email to the addresses specified below, with read receipt requested. A notice is deemed received on the business day it is sent if sent before 17:00 local time, or on the next business day if sent after 17:00.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Notice Contact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Email Address</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Buyer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Supplier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bl>
    <w:p>
      <w:pPr>
        <w:spacing w:after="100"/>
      </w:pPr>
    </w:p>
    <w:p>
      <w:pPr>
        <w:pStyle w:val="Heading3"/>
        <w:keepNext/>
        <w:spacing w:after="120" w:before="280"/>
      </w:pPr>
      <w:r>
        <w:rPr>
          <w:rFonts w:ascii="Arial" w:cs="Arial" w:eastAsia="Arial" w:hAnsi="Arial"/>
          <w:b/>
          <w:bCs/>
          <w:color w:val="17150F"/>
          <w:sz w:val="24"/>
          <w:szCs w:val="24"/>
        </w:rPr>
        <w:t xml:space="preserve">11.4 Expenses</w:t>
      </w:r>
    </w:p>
    <w:p>
      <w:pPr>
        <w:spacing w:after="160" w:line="320"/>
      </w:pPr>
      <w:r>
        <w:rPr>
          <w:rFonts w:ascii="Arial" w:cs="Arial" w:eastAsia="Arial" w:hAnsi="Arial"/>
          <w:color w:val="17150F"/>
          <w:sz w:val="22"/>
          <w:szCs w:val="22"/>
        </w:rPr>
        <w:t xml:space="preserve">11.4.1 Expenses </w:t>
      </w:r>
      <w:r>
        <w:rPr>
          <w:rFonts w:ascii="Arial" w:cs="Arial" w:eastAsia="Arial" w:hAnsi="Arial"/>
          <w:color w:val="17150F"/>
          <w:sz w:val="22"/>
          <w:szCs w:val="22"/>
          <w:shd w:fill="FBF1D4" w:val="clear"/>
        </w:rPr>
        <w:t xml:space="preserve">[ARE NOT REIMBURSABLE UNDER THIS SoW / ARE REIMBURSABLE ONLY WHERE PRE-APPROVED IN WRITING AND IN ACCORDANCE WITH THE BUYER'S EXPENSES POLICY]</w:t>
      </w:r>
      <w:r>
        <w:rPr>
          <w:rFonts w:ascii="Arial" w:cs="Arial" w:eastAsia="Arial" w:hAnsi="Arial"/>
          <w:color w:val="17150F"/>
          <w:sz w:val="22"/>
          <w:szCs w:val="22"/>
        </w:rPr>
        <w:t xml:space="preserve">.</w:t>
      </w:r>
    </w:p>
    <w:p>
      <w:pPr>
        <w:spacing w:after="160" w:line="320"/>
      </w:pPr>
      <w:r>
        <w:rPr>
          <w:rFonts w:ascii="Arial" w:cs="Arial" w:eastAsia="Arial" w:hAnsi="Arial"/>
          <w:b/>
          <w:bCs/>
          <w:color w:val="17150F"/>
          <w:sz w:val="22"/>
          <w:szCs w:val="22"/>
        </w:rPr>
        <w:t xml:space="preserve">Expenses Policy Reference: </w:t>
      </w:r>
      <w:r>
        <w:rPr>
          <w:rFonts w:ascii="Arial" w:cs="Arial" w:eastAsia="Arial" w:hAnsi="Arial"/>
          <w:color w:val="17150F"/>
          <w:sz w:val="22"/>
          <w:szCs w:val="22"/>
          <w:shd w:fill="FBF1D4" w:val="clear"/>
        </w:rPr>
        <w:t xml:space="preserve">[POLICY_REFERENCE_OR_URL]</w:t>
      </w:r>
    </w:p>
    <w:p>
      <w:pPr>
        <w:spacing w:after="160" w:line="320"/>
      </w:pPr>
      <w:r>
        <w:rPr>
          <w:rFonts w:ascii="Arial" w:cs="Arial" w:eastAsia="Arial" w:hAnsi="Arial"/>
          <w:b/>
          <w:bCs/>
          <w:color w:val="17150F"/>
          <w:sz w:val="22"/>
          <w:szCs w:val="22"/>
        </w:rPr>
        <w:t xml:space="preserve">Expense Cap: </w:t>
      </w:r>
      <w:r>
        <w:rPr>
          <w:rFonts w:ascii="Arial" w:cs="Arial" w:eastAsia="Arial" w:hAnsi="Arial"/>
          <w:color w:val="17150F"/>
          <w:sz w:val="22"/>
          <w:szCs w:val="22"/>
          <w:shd w:fill="FBF1D4" w:val="clear"/>
        </w:rPr>
        <w:t xml:space="preserve">[MAXIMUM_REIMBURSABLE_AMOUNT]</w:t>
      </w:r>
    </w:p>
    <w:p>
      <w:pPr>
        <w:pStyle w:val="Heading3"/>
        <w:keepNext/>
        <w:spacing w:after="120" w:before="280"/>
      </w:pPr>
      <w:r>
        <w:rPr>
          <w:rFonts w:ascii="Arial" w:cs="Arial" w:eastAsia="Arial" w:hAnsi="Arial"/>
          <w:b/>
          <w:bCs/>
          <w:color w:val="17150F"/>
          <w:sz w:val="24"/>
          <w:szCs w:val="24"/>
        </w:rPr>
        <w:t xml:space="preserve">11.5 Governing Law and Jurisdiction</w:t>
      </w:r>
    </w:p>
    <w:p>
      <w:pPr>
        <w:spacing w:after="160" w:line="320"/>
      </w:pPr>
      <w:r>
        <w:rPr>
          <w:rFonts w:ascii="Arial" w:cs="Arial" w:eastAsia="Arial" w:hAnsi="Arial"/>
          <w:color w:val="17150F"/>
          <w:sz w:val="22"/>
          <w:szCs w:val="22"/>
        </w:rPr>
        <w:t xml:space="preserve">11.5.1 This SoW is governed by and construed in accordance with the laws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11.5.2 The parties submit to the exclusive jurisdiction of the courts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 for the resolution of any dispute arising under this SoW.</w:t>
      </w:r>
    </w:p>
    <w:p>
      <w:pPr>
        <w:spacing w:after="0" w:before="320"/>
      </w:pPr>
    </w:p>
    <w:p>
      <w:pPr>
        <w:pStyle w:val="Heading3"/>
        <w:keepNext/>
        <w:spacing w:after="120" w:before="280"/>
      </w:pPr>
      <w:r>
        <w:rPr>
          <w:rFonts w:ascii="Arial" w:cs="Arial" w:eastAsia="Arial" w:hAnsi="Arial"/>
          <w:b/>
          <w:bCs/>
          <w:color w:val="17150F"/>
          <w:sz w:val="24"/>
          <w:szCs w:val="24"/>
        </w:rPr>
        <w:t xml:space="preserve">Execution</w:t>
      </w:r>
    </w:p>
    <w:p>
      <w:pPr>
        <w:spacing w:after="160" w:line="320"/>
      </w:pPr>
      <w:r>
        <w:rPr>
          <w:rFonts w:ascii="Arial" w:cs="Arial" w:eastAsia="Arial" w:hAnsi="Arial"/>
          <w:color w:val="17150F"/>
          <w:sz w:val="22"/>
          <w:szCs w:val="22"/>
        </w:rPr>
        <w:t xml:space="preserve">This Statement of Work has been executed by the duly authorised representatives of the parties on the dates indicated below.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rPr>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BUYER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SUPPLIER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r>
    </w:tbl>
    <w:sectPr>
      <w:headerReference w:type="default" r:id="rId7"/>
      <w:headerReference w:type="first" r:id="rId8"/>
      <w:footerReference w:type="default" r:id="rId9"/>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746"/>
      </w:tabs>
    </w:pPr>
    <w:r>
      <w:rPr>
        <w:rFonts w:ascii="Arial" w:cs="Arial" w:eastAsia="Arial" w:hAnsi="Arial"/>
        <w:color w:val="4C483C"/>
        <w:sz w:val="16"/>
        <w:szCs w:val="16"/>
      </w:rPr>
      <w:t xml:space="preserve">The SoW Standard v1.1. statementofwork.org. Apache 2.0.</w:t>
    </w:r>
    <w:r>
      <w:rPr>
        <w:rFonts w:ascii="Arial" w:cs="Arial" w:eastAsia="Arial" w:hAnsi="Arial"/>
      </w:rPr>
      <w:t xml:space="preserve">	</w:t>
    </w:r>
    <w:r>
      <w:rPr>
        <w:rFonts w:ascii="Arial" w:cs="Arial" w:eastAsia="Arial" w:hAnsi="Arial"/>
        <w:color w:val="4C483C"/>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C0B2" w:sz="4" w:space="4"/>
      </w:pBdr>
      <w:tabs>
        <w:tab w:val="right" w:pos="9746"/>
      </w:tabs>
    </w:pPr>
    <w:r>
      <w:rPr>
        <w:rFonts w:ascii="Arial" w:cs="Arial" w:eastAsia="Arial" w:hAnsi="Arial"/>
        <w:color w:val="4C483C"/>
        <w:sz w:val="16"/>
        <w:szCs w:val="16"/>
      </w:rPr>
      <w:t xml:space="preserve">Statement of Work with Guidance, Medium SoW (M)</w:t>
    </w:r>
    <w:r>
      <w:rPr>
        <w:rFonts w:ascii="Arial" w:cs="Arial" w:eastAsia="Arial" w:hAnsi="Arial"/>
      </w:rPr>
      <w:t xml:space="preserve">	</w:t>
    </w:r>
    <w:r>
      <w:rPr>
        <w:rFonts w:ascii="Arial" w:cs="Arial" w:eastAsia="Arial" w:hAnsi="Arial"/>
        <w:color w:val="4C483C"/>
        <w:sz w:val="16"/>
        <w:szCs w:val="16"/>
      </w:rPr>
      <w:t xml:space="preserve">SoW Reference: </w:t>
    </w:r>
    <w:r>
      <w:rPr>
        <w:rFonts w:ascii="Arial" w:cs="Arial" w:eastAsia="Arial" w:hAnsi="Arial"/>
        <w:color w:val="17150F"/>
        <w:sz w:val="16"/>
        <w:szCs w:val="16"/>
        <w:shd w:fill="FBF1D4" w:val="clear"/>
      </w:rPr>
      <w:t xml:space="preserve">[SoW-YYYY-###]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50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Template with Guidance Notes, Medium SoW (M)</dc:title>
  <dc:subject>Statement of Work template, The SoW Standard</dc:subject>
  <dc:creator>statementofwork.org</dc:creator>
  <cp:keywords>Statement of Work; SoW; template; services procurement; SoW Standard</cp:keywords>
  <dc:description>Medium SoW (M) template with guidance notes on every section. 11 sections, 43 Required elements. The SoW Standard, statementofwork.org. Apache 2.0, copyright Jamie Gannaway.</dc:description>
  <cp:lastModifiedBy>statementofwork.org</cp:lastModifiedBy>
  <cp:revision>1</cp:revision>
  <dcterms:created xsi:type="dcterms:W3CDTF">2026-08-29T15:02:49.273Z</dcterms:created>
  <dcterms:modified xsi:type="dcterms:W3CDTF">2026-08-29T15:02:49.273Z</dcterms:modified>
</cp:coreProperties>
</file>

<file path=docProps/custom.xml><?xml version="1.0" encoding="utf-8"?>
<Properties xmlns="http://schemas.openxmlformats.org/officeDocument/2006/custom-properties" xmlns:vt="http://schemas.openxmlformats.org/officeDocument/2006/docPropsVTypes"/>
</file>